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#109-e</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rPr>
        <w:t>R1-2203607</w:t>
      </w:r>
    </w:p>
    <w:p>
      <w:pPr>
        <w:tabs>
          <w:tab w:val="center" w:pos="4536"/>
          <w:tab w:val="right" w:pos="9072"/>
        </w:tabs>
        <w:spacing w:before="120" w:after="120"/>
        <w:rPr>
          <w:rFonts w:ascii="Arial" w:hAnsi="Arial" w:cs="Arial"/>
          <w:b/>
          <w:bCs/>
          <w:sz w:val="22"/>
          <w:szCs w:val="22"/>
        </w:rPr>
      </w:pPr>
      <w:r>
        <w:rPr>
          <w:rFonts w:ascii="Arial" w:hAnsi="Arial" w:cs="Arial"/>
          <w:b/>
          <w:bCs/>
          <w:sz w:val="22"/>
          <w:szCs w:val="22"/>
        </w:rPr>
        <w:t>e-Meeting</w:t>
      </w:r>
      <w:r>
        <w:rPr>
          <w:rFonts w:hint="eastAsia" w:ascii="Arial" w:hAnsi="Arial" w:cs="Arial"/>
          <w:b/>
          <w:bCs/>
          <w:sz w:val="22"/>
          <w:szCs w:val="22"/>
        </w:rPr>
        <w:t xml:space="preserve">, May </w:t>
      </w:r>
      <w:r>
        <w:rPr>
          <w:rFonts w:ascii="Arial" w:hAnsi="Arial" w:cs="Arial"/>
          <w:b/>
          <w:bCs/>
          <w:sz w:val="22"/>
          <w:szCs w:val="22"/>
        </w:rPr>
        <w:t>9</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b/>
          <w:bCs/>
          <w:sz w:val="22"/>
          <w:szCs w:val="22"/>
        </w:rPr>
        <w:t>20</w:t>
      </w:r>
      <w:r>
        <w:rPr>
          <w:rFonts w:ascii="Arial" w:hAnsi="Arial" w:cs="Arial"/>
          <w:b/>
          <w:bCs/>
          <w:sz w:val="22"/>
          <w:szCs w:val="22"/>
          <w:vertAlign w:val="superscript"/>
          <w:lang w:eastAsia="ja-JP"/>
        </w:rPr>
        <w:t>th</w:t>
      </w:r>
      <w:r>
        <w:rPr>
          <w:rFonts w:ascii="Arial" w:hAnsi="Arial" w:cs="Arial"/>
          <w:b/>
          <w:bCs/>
          <w:sz w:val="22"/>
          <w:szCs w:val="22"/>
          <w:lang w:eastAsia="ja-JP"/>
        </w:rPr>
        <w:t>, 202</w:t>
      </w:r>
      <w:r>
        <w:rPr>
          <w:rFonts w:hint="eastAsia" w:ascii="Arial" w:hAnsi="Arial" w:cs="Arial"/>
          <w:b/>
          <w:bCs/>
          <w:sz w:val="22"/>
          <w:szCs w:val="22"/>
        </w:rPr>
        <w:t>2</w:t>
      </w:r>
    </w:p>
    <w:p>
      <w:pPr>
        <w:tabs>
          <w:tab w:val="center" w:pos="4536"/>
          <w:tab w:val="right" w:pos="9072"/>
        </w:tabs>
        <w:spacing w:before="120" w:after="120"/>
        <w:rPr>
          <w:rFonts w:ascii="Arial" w:hAnsi="Arial" w:cs="Arial"/>
          <w:b/>
          <w:bCs/>
          <w:sz w:val="22"/>
          <w:szCs w:val="22"/>
        </w:rPr>
      </w:pP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XR specific capacity enhancements techniques</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Sanechips</w:t>
      </w:r>
    </w:p>
    <w:p>
      <w:pPr>
        <w:tabs>
          <w:tab w:val="left" w:pos="1985"/>
        </w:tabs>
        <w:spacing w:before="120" w:after="120"/>
        <w:rPr>
          <w:b/>
          <w:sz w:val="20"/>
          <w:szCs w:val="22"/>
          <w:highlight w:val="yellow"/>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9.11.2</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rFonts w:hint="eastAsia"/>
          <w:szCs w:val="21"/>
        </w:rPr>
        <w:t xml:space="preserve">The new SID about </w:t>
      </w:r>
      <w:r>
        <w:rPr>
          <w:szCs w:val="21"/>
        </w:rPr>
        <w:t>“</w:t>
      </w:r>
      <w:r>
        <w:rPr>
          <w:rFonts w:hint="eastAsia"/>
          <w:szCs w:val="21"/>
        </w:rPr>
        <w:t>Study on XR Enhancement for NR</w:t>
      </w:r>
      <w:r>
        <w:rPr>
          <w:szCs w:val="21"/>
        </w:rPr>
        <w:t>”</w:t>
      </w:r>
      <w:r>
        <w:rPr>
          <w:rFonts w:hint="eastAsia"/>
          <w:szCs w:val="21"/>
        </w:rPr>
        <w:t xml:space="preserve"> has been approved in 3GPP TSG RAN#94e meeting [1]. The working scope includes e.g. XR-awareness in RAN, XR specific power saving and XR specific capacity improvements. </w:t>
      </w:r>
      <w:r>
        <w:rPr>
          <w:szCs w:val="21"/>
        </w:rPr>
        <w:t>And</w:t>
      </w:r>
      <w:r>
        <w:rPr>
          <w:rFonts w:hint="eastAsia"/>
          <w:szCs w:val="21"/>
        </w:rPr>
        <w:t xml:space="preserve"> the objectives of XR specific capacity improvements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szCs w:val="21"/>
              </w:rPr>
            </w:pPr>
            <w:r>
              <w:rPr>
                <w:szCs w:val="21"/>
              </w:rPr>
              <w:t>Objectives on XR-specific capacity improvements (RAN1, RAN2):</w:t>
            </w:r>
          </w:p>
          <w:p>
            <w:pPr>
              <w:widowControl w:val="0"/>
              <w:numPr>
                <w:ilvl w:val="0"/>
                <w:numId w:val="5"/>
              </w:numPr>
              <w:spacing w:before="120" w:after="120"/>
              <w:ind w:left="495" w:hanging="247"/>
              <w:rPr>
                <w:szCs w:val="21"/>
              </w:rPr>
            </w:pPr>
            <w:r>
              <w:rPr>
                <w:szCs w:val="21"/>
              </w:rPr>
              <w:t>Study mechanisms that provide more efficient resource allocation and scheduling for XR service characteristics (periodicity, multiple flows, jitter, latency, reliability, etc…). Focus is on the following mechanisms:</w:t>
            </w:r>
          </w:p>
          <w:p>
            <w:pPr>
              <w:widowControl w:val="0"/>
              <w:numPr>
                <w:ilvl w:val="1"/>
                <w:numId w:val="5"/>
              </w:numPr>
              <w:spacing w:before="120" w:after="120"/>
              <w:ind w:left="991" w:hanging="247"/>
              <w:rPr>
                <w:szCs w:val="21"/>
              </w:rPr>
            </w:pPr>
            <w:r>
              <w:rPr>
                <w:szCs w:val="21"/>
              </w:rPr>
              <w:t>SPS and CG enhancements;</w:t>
            </w:r>
          </w:p>
          <w:p>
            <w:pPr>
              <w:widowControl w:val="0"/>
              <w:numPr>
                <w:ilvl w:val="1"/>
                <w:numId w:val="5"/>
              </w:numPr>
              <w:spacing w:before="120" w:after="120"/>
              <w:ind w:left="991" w:hanging="247"/>
              <w:rPr>
                <w:szCs w:val="21"/>
              </w:rPr>
            </w:pPr>
            <w:r>
              <w:rPr>
                <w:szCs w:val="21"/>
              </w:rPr>
              <w:t>Dynamic scheduling/grant enhancements.</w:t>
            </w:r>
          </w:p>
        </w:tc>
      </w:tr>
    </w:tbl>
    <w:p>
      <w:pPr>
        <w:spacing w:before="120" w:after="120"/>
        <w:rPr>
          <w:strike/>
          <w:szCs w:val="21"/>
        </w:rPr>
      </w:pPr>
      <w:r>
        <w:rPr>
          <w:rFonts w:hint="eastAsia"/>
          <w:szCs w:val="21"/>
        </w:rPr>
        <w:t xml:space="preserve">In this paper, potential SPS and CG enhancement techniques, including e.g. multiple SPS PDSCHs/CG PUSCHs configuration, and </w:t>
      </w:r>
      <w:r>
        <w:rPr>
          <w:szCs w:val="21"/>
        </w:rPr>
        <w:t>corresponding enhancement on MCS/</w:t>
      </w:r>
      <w:r>
        <w:rPr>
          <w:rFonts w:hint="eastAsia"/>
          <w:szCs w:val="21"/>
        </w:rPr>
        <w:t xml:space="preserve">resource indication are considered. </w:t>
      </w:r>
      <w:r>
        <w:rPr>
          <w:szCs w:val="21"/>
        </w:rPr>
        <w:t xml:space="preserve">W.r.t </w:t>
      </w:r>
      <w:r>
        <w:rPr>
          <w:rFonts w:hint="eastAsia"/>
          <w:szCs w:val="21"/>
        </w:rPr>
        <w:t>dynamic scheduling</w:t>
      </w:r>
      <w:r>
        <w:rPr>
          <w:szCs w:val="21"/>
        </w:rPr>
        <w:t xml:space="preserve">, </w:t>
      </w:r>
      <w:r>
        <w:rPr>
          <w:rFonts w:hint="eastAsia"/>
          <w:szCs w:val="21"/>
        </w:rPr>
        <w:t>enhanced BSR</w:t>
      </w:r>
      <w:r>
        <w:rPr>
          <w:szCs w:val="21"/>
        </w:rPr>
        <w:t xml:space="preserve"> report</w:t>
      </w:r>
      <w:r>
        <w:rPr>
          <w:rFonts w:hint="eastAsia"/>
          <w:szCs w:val="21"/>
        </w:rPr>
        <w:t xml:space="preserve">, </w:t>
      </w:r>
      <w:r>
        <w:rPr>
          <w:szCs w:val="21"/>
        </w:rPr>
        <w:t>and re</w:t>
      </w:r>
      <w:r>
        <w:rPr>
          <w:rFonts w:hint="eastAsia"/>
          <w:szCs w:val="21"/>
          <w:lang w:val="en-US" w:eastAsia="zh-CN"/>
        </w:rPr>
        <w:t>-</w:t>
      </w:r>
      <w:r>
        <w:rPr>
          <w:szCs w:val="21"/>
        </w:rPr>
        <w:t>transmission</w:t>
      </w:r>
      <w:r>
        <w:rPr>
          <w:rFonts w:hint="eastAsia"/>
          <w:szCs w:val="21"/>
        </w:rPr>
        <w:t xml:space="preserve"> </w:t>
      </w:r>
      <w:r>
        <w:rPr>
          <w:szCs w:val="21"/>
        </w:rPr>
        <w:t>with updated</w:t>
      </w:r>
      <w:r>
        <w:rPr>
          <w:rFonts w:hint="eastAsia"/>
          <w:szCs w:val="21"/>
        </w:rPr>
        <w:t xml:space="preserve"> MCS are introduced. Moreover, network coding technique is also </w:t>
      </w:r>
      <w:r>
        <w:rPr>
          <w:szCs w:val="21"/>
        </w:rPr>
        <w:t>discussed</w:t>
      </w:r>
      <w:r>
        <w:rPr>
          <w:rFonts w:hint="eastAsia"/>
          <w:szCs w:val="21"/>
        </w:rPr>
        <w:t>.</w:t>
      </w:r>
    </w:p>
    <w:p>
      <w:pPr>
        <w:pStyle w:val="2"/>
        <w:spacing w:before="120" w:after="120"/>
        <w:ind w:left="0"/>
      </w:pPr>
      <w:r>
        <w:rPr>
          <w:rFonts w:hint="eastAsia" w:eastAsia="宋体"/>
        </w:rPr>
        <w:t>Discussion on SPS and CG enhancement</w:t>
      </w:r>
    </w:p>
    <w:p>
      <w:pPr>
        <w:pStyle w:val="3"/>
        <w:spacing w:before="120" w:after="120"/>
        <w:ind w:left="991" w:right="210" w:hanging="991" w:hangingChars="354"/>
      </w:pPr>
      <w:r>
        <w:rPr>
          <w:rFonts w:hint="eastAsia" w:eastAsia="宋体"/>
          <w:szCs w:val="22"/>
        </w:rPr>
        <w:t>Downlink SPS enhancement</w:t>
      </w:r>
    </w:p>
    <w:p>
      <w:pPr>
        <w:pStyle w:val="4"/>
        <w:spacing w:after="120"/>
        <w:ind w:right="210"/>
      </w:pPr>
      <w:r>
        <w:rPr>
          <w:rFonts w:hint="eastAsia" w:eastAsia="宋体"/>
        </w:rPr>
        <w:t>SPS transmission for XR traffic</w:t>
      </w:r>
    </w:p>
    <w:p>
      <w:pPr>
        <w:spacing w:before="120" w:after="120"/>
      </w:pPr>
      <w:r>
        <w:rPr>
          <w:rFonts w:hint="eastAsia"/>
        </w:rPr>
        <w:t>SPS transmission is characterized by fixed MCS level, periodic</w:t>
      </w:r>
      <w:r>
        <w:t xml:space="preserve"> and</w:t>
      </w:r>
      <w:r>
        <w:rPr>
          <w:rFonts w:hint="eastAsia"/>
        </w:rPr>
        <w:t xml:space="preserve"> fixed time-frequency resource, which fits to the periodical service with small packet size and stringent latency, including e.g. URLLC service. </w:t>
      </w:r>
      <w:r>
        <w:rPr>
          <w:bCs/>
        </w:rPr>
        <w:t>Compared to dynamic grant transmission</w:t>
      </w:r>
      <w:r>
        <w:rPr>
          <w:rFonts w:hint="eastAsia"/>
        </w:rPr>
        <w:t xml:space="preserve">, </w:t>
      </w:r>
      <w:r>
        <w:t xml:space="preserve">it is obvious that </w:t>
      </w:r>
      <w:r>
        <w:rPr>
          <w:rFonts w:hint="eastAsia"/>
        </w:rPr>
        <w:t>SPS transmission is capable of reducing overhead of downlink control signaling</w:t>
      </w:r>
      <w:r>
        <w:t xml:space="preserve">, as well as </w:t>
      </w:r>
      <w:r>
        <w:rPr>
          <w:rFonts w:hint="eastAsia"/>
        </w:rPr>
        <w:t xml:space="preserve">transmission latency </w:t>
      </w:r>
      <w:r>
        <w:t>which is required for PDCCH transmission/decoding in DG mechanism</w:t>
      </w:r>
      <w:r>
        <w:rPr>
          <w:rFonts w:hint="eastAsia"/>
        </w:rPr>
        <w:t xml:space="preserve">. </w:t>
      </w:r>
    </w:p>
    <w:p>
      <w:pPr>
        <w:spacing w:before="120" w:after="120"/>
      </w:pPr>
      <w:r>
        <w:rPr>
          <w:rFonts w:hint="eastAsia"/>
        </w:rPr>
        <w:t xml:space="preserve">XR service is characterized by quasi-periodicity, large and various packet size as well as stringent latency. In order to reduce transmission latency and save overhead of downlink control signaling, SPS transmission </w:t>
      </w:r>
      <w:r>
        <w:t>may be</w:t>
      </w:r>
      <w:r>
        <w:rPr>
          <w:rFonts w:hint="eastAsia"/>
        </w:rPr>
        <w:t xml:space="preserve"> one </w:t>
      </w:r>
      <w:r>
        <w:t>of potential</w:t>
      </w:r>
      <w:r>
        <w:rPr>
          <w:rFonts w:hint="eastAsia"/>
        </w:rPr>
        <w:t xml:space="preserve"> transmission scheme</w:t>
      </w:r>
      <w:r>
        <w:t>s</w:t>
      </w:r>
      <w:r>
        <w:rPr>
          <w:rFonts w:hint="eastAsia"/>
        </w:rPr>
        <w:t xml:space="preserve"> for XR service due to </w:t>
      </w:r>
      <w:r>
        <w:t>the mentioned</w:t>
      </w:r>
      <w:r>
        <w:rPr>
          <w:rFonts w:hint="eastAsia"/>
        </w:rPr>
        <w:t xml:space="preserve"> </w:t>
      </w:r>
      <w:r>
        <w:t>advantages</w:t>
      </w:r>
      <w:r>
        <w:rPr>
          <w:rFonts w:hint="eastAsia"/>
        </w:rPr>
        <w:t xml:space="preserve">. </w:t>
      </w:r>
    </w:p>
    <w:p>
      <w:pPr>
        <w:pStyle w:val="50"/>
        <w:spacing w:before="120" w:after="120"/>
        <w:jc w:val="both"/>
        <w:rPr>
          <w:lang w:val="en-US" w:eastAsia="zh-CN"/>
        </w:rPr>
      </w:pPr>
      <w:bookmarkStart w:id="0" w:name="_Toc3798"/>
      <w:r>
        <w:rPr>
          <w:lang w:val="en-US" w:eastAsia="zh-CN"/>
        </w:rPr>
        <w:t xml:space="preserve">Given the advantages of </w:t>
      </w:r>
      <w:r>
        <w:rPr>
          <w:rFonts w:hint="eastAsia"/>
        </w:rPr>
        <w:t>reduc</w:t>
      </w:r>
      <w:r>
        <w:t>ing</w:t>
      </w:r>
      <w:r>
        <w:rPr>
          <w:rFonts w:hint="eastAsia"/>
        </w:rPr>
        <w:t xml:space="preserve"> transmission latency and sav</w:t>
      </w:r>
      <w:r>
        <w:t>ing</w:t>
      </w:r>
      <w:r>
        <w:rPr>
          <w:rFonts w:hint="eastAsia"/>
        </w:rPr>
        <w:t xml:space="preserve"> overhead of downlink control </w:t>
      </w:r>
      <w:r>
        <w:t xml:space="preserve">signaling, </w:t>
      </w:r>
      <w:r>
        <w:rPr>
          <w:rFonts w:hint="eastAsia"/>
        </w:rPr>
        <w:t xml:space="preserve">SPS </w:t>
      </w:r>
      <w:r>
        <w:t>mechanism</w:t>
      </w:r>
      <w:r>
        <w:rPr>
          <w:rFonts w:hint="eastAsia"/>
        </w:rPr>
        <w:t xml:space="preserve"> </w:t>
      </w:r>
      <w:r>
        <w:t>can be considered to be applied in XR traffic.</w:t>
      </w:r>
      <w:bookmarkEnd w:id="0"/>
    </w:p>
    <w:p>
      <w:pPr>
        <w:spacing w:before="120" w:after="120"/>
      </w:pPr>
      <w:r>
        <w:t xml:space="preserve">Furthermore, as mentioned before, the </w:t>
      </w:r>
      <w:r>
        <w:rPr>
          <w:rFonts w:hint="eastAsia"/>
        </w:rPr>
        <w:t xml:space="preserve">packet size </w:t>
      </w:r>
      <w:r>
        <w:t xml:space="preserve">of XR service </w:t>
      </w:r>
      <w:r>
        <w:rPr>
          <w:rFonts w:hint="eastAsia"/>
        </w:rPr>
        <w:t>is large and various</w:t>
      </w:r>
      <w:r>
        <w:t>.</w:t>
      </w:r>
      <w:r>
        <w:rPr>
          <w:rFonts w:hint="eastAsia"/>
        </w:rPr>
        <w:t xml:space="preserve"> </w:t>
      </w:r>
      <w:r>
        <w:t>In order to address this issue,</w:t>
      </w:r>
      <w:r>
        <w:rPr>
          <w:rFonts w:hint="eastAsia"/>
        </w:rPr>
        <w:t xml:space="preserve"> </w:t>
      </w:r>
      <w:r>
        <w:t>either a</w:t>
      </w:r>
      <w:r>
        <w:rPr>
          <w:rFonts w:hint="eastAsia"/>
        </w:rPr>
        <w:t xml:space="preserve"> small periodicity </w:t>
      </w:r>
      <w:r>
        <w:t xml:space="preserve">is configured in </w:t>
      </w:r>
      <w:r>
        <w:rPr>
          <w:rFonts w:hint="eastAsia"/>
        </w:rPr>
        <w:t>SPS</w:t>
      </w:r>
      <w:r>
        <w:t xml:space="preserve"> transmission, or </w:t>
      </w:r>
      <w:r>
        <w:rPr>
          <w:rFonts w:hint="eastAsia"/>
        </w:rPr>
        <w:t>multiple SPS configurations</w:t>
      </w:r>
      <w:r>
        <w:t xml:space="preserve"> is considered</w:t>
      </w:r>
      <w:r>
        <w:rPr>
          <w:rFonts w:hint="eastAsia"/>
        </w:rPr>
        <w:t xml:space="preserve">. Both of them aim to </w:t>
      </w:r>
      <w:r>
        <w:t>compose</w:t>
      </w:r>
      <w:r>
        <w:rPr>
          <w:rFonts w:hint="eastAsia"/>
        </w:rPr>
        <w:t xml:space="preserve"> multiple transmission occasions </w:t>
      </w:r>
      <w:r>
        <w:t xml:space="preserve">in a period of time </w:t>
      </w:r>
      <w:r>
        <w:rPr>
          <w:rFonts w:hint="eastAsia"/>
          <w:lang w:val="en-US" w:eastAsia="zh-CN"/>
        </w:rPr>
        <w:t xml:space="preserve">to </w:t>
      </w:r>
      <w:r>
        <w:rPr>
          <w:rFonts w:hint="eastAsia"/>
        </w:rPr>
        <w:t xml:space="preserve">reduce the gap between </w:t>
      </w:r>
      <w:r>
        <w:t xml:space="preserve">the time of </w:t>
      </w:r>
      <w:r>
        <w:rPr>
          <w:rFonts w:hint="eastAsia"/>
        </w:rPr>
        <w:t xml:space="preserve">packet </w:t>
      </w:r>
      <w:r>
        <w:t>arrival</w:t>
      </w:r>
      <w:r>
        <w:rPr>
          <w:rFonts w:hint="eastAsia"/>
        </w:rPr>
        <w:t xml:space="preserve"> and</w:t>
      </w:r>
      <w:r>
        <w:t xml:space="preserve"> corresponding available</w:t>
      </w:r>
      <w:r>
        <w:rPr>
          <w:rFonts w:hint="eastAsia"/>
        </w:rPr>
        <w:t xml:space="preserve"> transmission occasion</w:t>
      </w:r>
      <w:r>
        <w:t>(s)</w:t>
      </w:r>
      <w:r>
        <w:rPr>
          <w:rFonts w:hint="eastAsia"/>
        </w:rPr>
        <w:t xml:space="preserve">. However, the problems of </w:t>
      </w:r>
      <w:r>
        <w:t xml:space="preserve">these </w:t>
      </w:r>
      <w:r>
        <w:rPr>
          <w:rFonts w:hint="eastAsia"/>
          <w:lang w:val="en-US" w:eastAsia="zh-CN"/>
        </w:rPr>
        <w:t xml:space="preserve">two </w:t>
      </w:r>
      <w:r>
        <w:t>approaches</w:t>
      </w:r>
      <w:r>
        <w:rPr>
          <w:rFonts w:hint="eastAsia"/>
        </w:rPr>
        <w:t xml:space="preserve"> </w:t>
      </w:r>
      <w:r>
        <w:t>are as follows:</w:t>
      </w:r>
    </w:p>
    <w:p>
      <w:pPr>
        <w:numPr>
          <w:ilvl w:val="0"/>
          <w:numId w:val="6"/>
        </w:numPr>
        <w:spacing w:before="120" w:after="120"/>
      </w:pPr>
      <w:r>
        <w:rPr>
          <w:rFonts w:hint="eastAsia"/>
        </w:rPr>
        <w:t xml:space="preserve">Fixed MCS level: </w:t>
      </w:r>
      <w:r>
        <w:t xml:space="preserve">The preconfigured MCS for SPS transmission is usually conservative considering the potential worst SINR. Moreover, </w:t>
      </w:r>
      <w:r>
        <w:rPr>
          <w:rFonts w:hint="eastAsia"/>
        </w:rPr>
        <w:t>g</w:t>
      </w:r>
      <w:r>
        <w:t>iven XR traffic,</w:t>
      </w:r>
      <w:r>
        <w:rPr>
          <w:rFonts w:hint="eastAsia"/>
        </w:rPr>
        <w:t xml:space="preserve"> </w:t>
      </w:r>
      <w:r>
        <w:t>a lot of</w:t>
      </w:r>
      <w:r>
        <w:rPr>
          <w:rFonts w:hint="eastAsia"/>
        </w:rPr>
        <w:t xml:space="preserve"> resources </w:t>
      </w:r>
      <w:r>
        <w:t>may be</w:t>
      </w:r>
      <w:r>
        <w:rPr>
          <w:rFonts w:hint="eastAsia"/>
        </w:rPr>
        <w:t xml:space="preserve"> </w:t>
      </w:r>
      <w:r>
        <w:t>reserved to</w:t>
      </w:r>
      <w:r>
        <w:rPr>
          <w:rFonts w:hint="eastAsia"/>
        </w:rPr>
        <w:t xml:space="preserve"> </w:t>
      </w:r>
      <w:r>
        <w:t>a</w:t>
      </w:r>
      <w:r>
        <w:rPr>
          <w:rFonts w:hint="eastAsia"/>
        </w:rPr>
        <w:t xml:space="preserve"> UE for transmitting large and various packet size. </w:t>
      </w:r>
      <w:r>
        <w:t>Thus</w:t>
      </w:r>
      <w:r>
        <w:rPr>
          <w:rFonts w:hint="eastAsia"/>
        </w:rPr>
        <w:t xml:space="preserve"> </w:t>
      </w:r>
      <w:r>
        <w:t xml:space="preserve">it results in very </w:t>
      </w:r>
      <w:r>
        <w:rPr>
          <w:rFonts w:hint="eastAsia"/>
        </w:rPr>
        <w:t xml:space="preserve">low resource utilization </w:t>
      </w:r>
      <w:r>
        <w:t xml:space="preserve">and </w:t>
      </w:r>
      <w:r>
        <w:rPr>
          <w:rFonts w:hint="eastAsia"/>
        </w:rPr>
        <w:t>limited capacity performance</w:t>
      </w:r>
      <w:r>
        <w:t xml:space="preserve"> in this situation</w:t>
      </w:r>
      <w:r>
        <w:rPr>
          <w:rFonts w:hint="eastAsia"/>
        </w:rPr>
        <w:t>.</w:t>
      </w:r>
    </w:p>
    <w:p>
      <w:pPr>
        <w:numPr>
          <w:ilvl w:val="0"/>
          <w:numId w:val="6"/>
        </w:numPr>
        <w:spacing w:before="120" w:after="120"/>
      </w:pPr>
      <w:r>
        <w:t>B</w:t>
      </w:r>
      <w:r>
        <w:rPr>
          <w:rFonts w:hint="eastAsia"/>
        </w:rPr>
        <w:t>lind detection</w:t>
      </w:r>
      <w:r>
        <w:t xml:space="preserve"> in SPS occasions</w:t>
      </w:r>
      <w:r>
        <w:rPr>
          <w:rFonts w:hint="eastAsia"/>
        </w:rPr>
        <w:t>: Due to</w:t>
      </w:r>
      <w:r>
        <w:t xml:space="preserve"> sufficient</w:t>
      </w:r>
      <w:r>
        <w:rPr>
          <w:rFonts w:hint="eastAsia"/>
        </w:rPr>
        <w:t xml:space="preserve"> transmission occasions </w:t>
      </w:r>
      <w:r>
        <w:t>are usually configured to fit to</w:t>
      </w:r>
      <w:r>
        <w:rPr>
          <w:rFonts w:hint="eastAsia"/>
        </w:rPr>
        <w:t xml:space="preserve"> XR </w:t>
      </w:r>
      <w:r>
        <w:t xml:space="preserve">services with </w:t>
      </w:r>
      <w:r>
        <w:rPr>
          <w:rFonts w:hint="eastAsia"/>
        </w:rPr>
        <w:t>various packet size</w:t>
      </w:r>
      <w:r>
        <w:t xml:space="preserve"> and </w:t>
      </w:r>
      <w:r>
        <w:rPr>
          <w:rFonts w:hint="eastAsia"/>
        </w:rPr>
        <w:t>stringent</w:t>
      </w:r>
      <w:r>
        <w:t xml:space="preserve"> latency</w:t>
      </w:r>
      <w:r>
        <w:rPr>
          <w:rFonts w:hint="eastAsia"/>
        </w:rPr>
        <w:t xml:space="preserve">, there are </w:t>
      </w:r>
      <w:r>
        <w:t xml:space="preserve">probably </w:t>
      </w:r>
      <w:r>
        <w:rPr>
          <w:rFonts w:hint="eastAsia"/>
        </w:rPr>
        <w:t xml:space="preserve">redundant resources </w:t>
      </w:r>
      <w:r>
        <w:t>if the packet size turns to be smaller than the maximum one. Whereas</w:t>
      </w:r>
      <w:r>
        <w:rPr>
          <w:rFonts w:hint="eastAsia"/>
        </w:rPr>
        <w:t xml:space="preserve"> </w:t>
      </w:r>
      <w:r>
        <w:t>f</w:t>
      </w:r>
      <w:r>
        <w:rPr>
          <w:rFonts w:hint="eastAsia"/>
        </w:rPr>
        <w:t>rom UE</w:t>
      </w:r>
      <w:r>
        <w:t>’</w:t>
      </w:r>
      <w:r>
        <w:rPr>
          <w:rFonts w:hint="eastAsia"/>
        </w:rPr>
        <w:t xml:space="preserve">s perspective, </w:t>
      </w:r>
      <w:r>
        <w:t>it</w:t>
      </w:r>
      <w:r>
        <w:rPr>
          <w:rFonts w:hint="eastAsia"/>
        </w:rPr>
        <w:t xml:space="preserve"> would detect SPS PDSCH blindly </w:t>
      </w:r>
      <w:r>
        <w:t>even though there was no data transmission in the redundant resource</w:t>
      </w:r>
      <w:r>
        <w:rPr>
          <w:rFonts w:hint="eastAsia"/>
        </w:rPr>
        <w:t xml:space="preserve">, which leads to excessive power consumption. </w:t>
      </w:r>
    </w:p>
    <w:p>
      <w:pPr>
        <w:numPr>
          <w:ilvl w:val="0"/>
          <w:numId w:val="6"/>
        </w:numPr>
        <w:spacing w:before="120" w:after="120"/>
      </w:pPr>
      <w:r>
        <w:t>P</w:t>
      </w:r>
      <w:r>
        <w:rPr>
          <w:rFonts w:hint="eastAsia"/>
        </w:rPr>
        <w:t>eriodicity</w:t>
      </w:r>
      <w:r>
        <w:t xml:space="preserve"> misalignment</w:t>
      </w:r>
      <w:r>
        <w:rPr>
          <w:rFonts w:hint="eastAsia"/>
        </w:rPr>
        <w:t xml:space="preserve">: Typical frame rate of XR traffic is 30FPS, 60FPS, 120FPS and so on in [1]. Therefore, the periodicity of XR traffic is the inverse of the frame rate, which is a non-integer value. Whereas the periodicities of legacy SPS configuration are integer, which results in a misalignment between XR packet arrival and SPS PDSCH. Therefore, the transmission delay would increase to some </w:t>
      </w:r>
      <w:r>
        <w:t>extent</w:t>
      </w:r>
      <w:r>
        <w:rPr>
          <w:rFonts w:hint="eastAsia"/>
        </w:rPr>
        <w:t>.</w:t>
      </w:r>
    </w:p>
    <w:p>
      <w:pPr>
        <w:pStyle w:val="50"/>
        <w:spacing w:before="120" w:after="120"/>
        <w:jc w:val="both"/>
        <w:rPr>
          <w:lang w:val="en-US" w:eastAsia="zh-CN"/>
        </w:rPr>
      </w:pPr>
      <w:bookmarkStart w:id="1" w:name="_Toc2805"/>
      <w:r>
        <w:rPr>
          <w:lang w:val="en-US" w:eastAsia="zh-CN"/>
        </w:rPr>
        <w:t>SPS transmission encounters three problems to be solved: low resource utilization, excessive power consumption due to blind detection of redundant PDSCH</w:t>
      </w:r>
      <w:r>
        <w:rPr>
          <w:rFonts w:hint="eastAsia"/>
          <w:lang w:val="en-US" w:eastAsia="zh-CN"/>
        </w:rPr>
        <w:t xml:space="preserve"> and p</w:t>
      </w:r>
      <w:r>
        <w:rPr>
          <w:rFonts w:hint="eastAsia"/>
        </w:rPr>
        <w:t>eriodicity</w:t>
      </w:r>
      <w:r>
        <w:t xml:space="preserve"> misalignment</w:t>
      </w:r>
      <w:r>
        <w:rPr>
          <w:lang w:val="en-US" w:eastAsia="zh-CN"/>
        </w:rPr>
        <w:t>.</w:t>
      </w:r>
      <w:bookmarkEnd w:id="1"/>
    </w:p>
    <w:p>
      <w:pPr>
        <w:pStyle w:val="4"/>
        <w:spacing w:after="120"/>
        <w:ind w:right="210"/>
      </w:pPr>
      <w:r>
        <w:rPr>
          <w:rFonts w:hint="eastAsia" w:eastAsia="宋体"/>
        </w:rPr>
        <w:t>Potential XR-specific SPS enhancement</w:t>
      </w:r>
    </w:p>
    <w:p>
      <w:pPr>
        <w:spacing w:before="120" w:after="120"/>
      </w:pPr>
      <w:r>
        <w:rPr>
          <w:rFonts w:hint="eastAsia"/>
        </w:rPr>
        <w:t xml:space="preserve">In general, </w:t>
      </w:r>
      <w:r>
        <w:t>regarding the first aforementioned problem,</w:t>
      </w:r>
      <w:r>
        <w:rPr>
          <w:rFonts w:hint="eastAsia"/>
        </w:rPr>
        <w:t xml:space="preserve"> </w:t>
      </w:r>
      <w:r>
        <w:t xml:space="preserve">if an </w:t>
      </w:r>
      <w:r>
        <w:rPr>
          <w:rFonts w:hint="eastAsia"/>
        </w:rPr>
        <w:t>update</w:t>
      </w:r>
      <w:r>
        <w:t>d</w:t>
      </w:r>
      <w:r>
        <w:rPr>
          <w:rFonts w:hint="eastAsia"/>
        </w:rPr>
        <w:t xml:space="preserve"> MCS level for SPS PDSCH</w:t>
      </w:r>
      <w:r>
        <w:t xml:space="preserve"> can be indicated to UE</w:t>
      </w:r>
      <w:r>
        <w:rPr>
          <w:rFonts w:hint="eastAsia"/>
        </w:rPr>
        <w:t>.</w:t>
      </w:r>
      <w:r>
        <w:t xml:space="preserve"> The resource utilization can be improved especially when the channel condition is sufficiently good. More specifically,</w:t>
      </w:r>
      <w:r>
        <w:rPr>
          <w:rFonts w:hint="eastAsia"/>
        </w:rPr>
        <w:t xml:space="preserve"> </w:t>
      </w:r>
      <w:r>
        <w:t>t</w:t>
      </w:r>
      <w:r>
        <w:rPr>
          <w:rFonts w:hint="eastAsia"/>
        </w:rPr>
        <w:t xml:space="preserve">he procedure </w:t>
      </w:r>
      <w:r>
        <w:t>on how to</w:t>
      </w:r>
      <w:r>
        <w:rPr>
          <w:rFonts w:hint="eastAsia"/>
        </w:rPr>
        <w:t xml:space="preserve"> update MCS is depicted in </w:t>
      </w:r>
      <w:r>
        <w:rPr>
          <w:bCs/>
        </w:rPr>
        <w:t>Figure 1</w:t>
      </w:r>
      <w:r>
        <w:rPr>
          <w:rFonts w:hint="eastAsia"/>
        </w:rPr>
        <w:t>.</w:t>
      </w:r>
    </w:p>
    <w:p>
      <w:pPr>
        <w:spacing w:before="120" w:after="120"/>
        <w:jc w:val="center"/>
      </w:pPr>
      <w:r>
        <w:rPr>
          <w:rFonts w:hint="eastAsia"/>
        </w:rPr>
        <w:drawing>
          <wp:inline distT="0" distB="0" distL="114300" distR="114300">
            <wp:extent cx="5019040" cy="1677670"/>
            <wp:effectExtent l="0" t="0" r="0" b="0"/>
            <wp:docPr id="10" name="图片 10" descr="动态资源指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动态资源指示"/>
                    <pic:cNvPicPr>
                      <a:picLocks noChangeAspect="1"/>
                    </pic:cNvPicPr>
                  </pic:nvPicPr>
                  <pic:blipFill>
                    <a:blip r:embed="rId10"/>
                    <a:stretch>
                      <a:fillRect/>
                    </a:stretch>
                  </pic:blipFill>
                  <pic:spPr>
                    <a:xfrm>
                      <a:off x="0" y="0"/>
                      <a:ext cx="5019040" cy="1677670"/>
                    </a:xfrm>
                    <a:prstGeom prst="rect">
                      <a:avLst/>
                    </a:prstGeom>
                  </pic:spPr>
                </pic:pic>
              </a:graphicData>
            </a:graphic>
          </wp:inline>
        </w:drawing>
      </w:r>
    </w:p>
    <w:p>
      <w:pPr>
        <w:spacing w:before="120" w:after="120"/>
        <w:jc w:val="center"/>
        <w:rPr>
          <w:i w:val="0"/>
          <w:iCs w:val="0"/>
        </w:rPr>
      </w:pPr>
      <w:r>
        <w:rPr>
          <w:rFonts w:hint="eastAsia"/>
          <w:i w:val="0"/>
          <w:iCs w:val="0"/>
        </w:rPr>
        <w:t>Figure 1 Procedure of MCS update in SPS transmission</w:t>
      </w:r>
    </w:p>
    <w:p>
      <w:pPr>
        <w:spacing w:before="120" w:after="120"/>
      </w:pPr>
      <w:r>
        <w:t>Assuming</w:t>
      </w:r>
      <w:r>
        <w:rPr>
          <w:rFonts w:hint="eastAsia"/>
        </w:rPr>
        <w:t xml:space="preserve"> MCS level is indicated, </w:t>
      </w:r>
      <w:r>
        <w:rPr>
          <w:rFonts w:hint="eastAsia"/>
          <w:szCs w:val="21"/>
        </w:rPr>
        <w:t xml:space="preserve">multiple </w:t>
      </w:r>
      <w:r>
        <w:t>PDSCHs</w:t>
      </w:r>
      <w:r>
        <w:rPr>
          <w:rFonts w:hint="eastAsia"/>
        </w:rPr>
        <w:t xml:space="preserve"> use the same MCS level. When UE receives </w:t>
      </w:r>
      <w:r>
        <w:t>PDSCHs</w:t>
      </w:r>
      <w:r>
        <w:rPr>
          <w:rFonts w:hint="eastAsia"/>
        </w:rPr>
        <w:t xml:space="preserve">, </w:t>
      </w:r>
      <w:r>
        <w:t xml:space="preserve">the </w:t>
      </w:r>
      <w:r>
        <w:rPr>
          <w:rFonts w:hint="eastAsia"/>
        </w:rPr>
        <w:t>target</w:t>
      </w:r>
      <w:r>
        <w:t>ed</w:t>
      </w:r>
      <w:r>
        <w:rPr>
          <w:rFonts w:hint="eastAsia"/>
        </w:rPr>
        <w:t xml:space="preserve"> MCS close to current channel condition is calculated, and UE feeds back the target</w:t>
      </w:r>
      <w:r>
        <w:t>ed</w:t>
      </w:r>
      <w:r>
        <w:rPr>
          <w:rFonts w:hint="eastAsia"/>
        </w:rPr>
        <w:t xml:space="preserve"> MCS to gNB. Then </w:t>
      </w:r>
      <w:r>
        <w:t>the MCS level can be updated according the received feedback from UE side.</w:t>
      </w:r>
      <w:r>
        <w:rPr>
          <w:rFonts w:hint="eastAsia"/>
        </w:rPr>
        <w:t xml:space="preserve"> For example, MCS level can be updated by delta MCS information, which represents the difference between scheduling MCS and target MCS. </w:t>
      </w:r>
    </w:p>
    <w:p>
      <w:pPr>
        <w:spacing w:before="120" w:after="120"/>
      </w:pPr>
      <w:r>
        <w:rPr>
          <w:rFonts w:hint="eastAsia"/>
        </w:rPr>
        <w:t xml:space="preserve">Moreover, the </w:t>
      </w:r>
      <w:r>
        <w:t>indication</w:t>
      </w:r>
      <w:r>
        <w:rPr>
          <w:rFonts w:hint="eastAsia"/>
        </w:rPr>
        <w:t xml:space="preserve"> carrying update</w:t>
      </w:r>
      <w:r>
        <w:t>d</w:t>
      </w:r>
      <w:r>
        <w:rPr>
          <w:rFonts w:hint="eastAsia"/>
        </w:rPr>
        <w:t xml:space="preserve"> MCS can also carry the resource indication for different UEs</w:t>
      </w:r>
      <w:r>
        <w:t xml:space="preserve"> to handle the second aforementioned problem. In that situation,</w:t>
      </w:r>
      <w:r>
        <w:rPr>
          <w:rFonts w:hint="eastAsia"/>
        </w:rPr>
        <w:t xml:space="preserve"> unused resources</w:t>
      </w:r>
      <w:r>
        <w:t xml:space="preserve"> are indicated to UE so that UE can save the energy with that knowledge</w:t>
      </w:r>
      <w:r>
        <w:rPr>
          <w:rFonts w:hint="eastAsia"/>
        </w:rPr>
        <w:t>.</w:t>
      </w:r>
      <w:r>
        <w:t xml:space="preserve"> Then,</w:t>
      </w:r>
      <w:r>
        <w:rPr>
          <w:rFonts w:hint="eastAsia"/>
        </w:rPr>
        <w:t xml:space="preserve"> </w:t>
      </w:r>
      <w:r>
        <w:t>t</w:t>
      </w:r>
      <w:r>
        <w:rPr>
          <w:rFonts w:hint="eastAsia"/>
        </w:rPr>
        <w:t xml:space="preserve">he procedure of resource </w:t>
      </w:r>
      <w:r>
        <w:t>indication/</w:t>
      </w:r>
      <w:r>
        <w:rPr>
          <w:rFonts w:hint="eastAsia"/>
        </w:rPr>
        <w:t xml:space="preserve">release is depicted in </w:t>
      </w:r>
      <w:r>
        <w:rPr>
          <w:bCs/>
        </w:rPr>
        <w:t>Figure 2</w:t>
      </w:r>
      <w:r>
        <w:rPr>
          <w:rFonts w:hint="eastAsia"/>
        </w:rPr>
        <w:t>.</w:t>
      </w:r>
    </w:p>
    <w:p>
      <w:pPr>
        <w:spacing w:before="120" w:after="120"/>
        <w:jc w:val="center"/>
        <w:rPr>
          <w:rFonts w:hint="eastAsia" w:eastAsia="宋体"/>
          <w:lang w:eastAsia="zh-CN"/>
        </w:rPr>
      </w:pPr>
      <w:r>
        <w:rPr>
          <w:rFonts w:hint="eastAsia" w:eastAsia="宋体"/>
          <w:lang w:eastAsia="zh-CN"/>
        </w:rPr>
        <w:drawing>
          <wp:inline distT="0" distB="0" distL="114300" distR="114300">
            <wp:extent cx="5039360" cy="1800225"/>
            <wp:effectExtent l="0" t="0" r="0" b="9525"/>
            <wp:docPr id="9" name="图片 9" descr="释放说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释放说明"/>
                    <pic:cNvPicPr>
                      <a:picLocks noChangeAspect="1"/>
                    </pic:cNvPicPr>
                  </pic:nvPicPr>
                  <pic:blipFill>
                    <a:blip r:embed="rId11"/>
                    <a:stretch>
                      <a:fillRect/>
                    </a:stretch>
                  </pic:blipFill>
                  <pic:spPr>
                    <a:xfrm>
                      <a:off x="0" y="0"/>
                      <a:ext cx="5039360" cy="1800225"/>
                    </a:xfrm>
                    <a:prstGeom prst="rect">
                      <a:avLst/>
                    </a:prstGeom>
                  </pic:spPr>
                </pic:pic>
              </a:graphicData>
            </a:graphic>
          </wp:inline>
        </w:drawing>
      </w:r>
    </w:p>
    <w:p>
      <w:pPr>
        <w:spacing w:before="120" w:after="120"/>
        <w:jc w:val="center"/>
        <w:rPr>
          <w:i/>
        </w:rPr>
      </w:pPr>
      <w:r>
        <w:rPr>
          <w:i w:val="0"/>
          <w:iCs/>
        </w:rPr>
        <w:t>Figure 2 Procedure of SPS resource release</w:t>
      </w:r>
    </w:p>
    <w:p>
      <w:pPr>
        <w:spacing w:before="120" w:after="120"/>
      </w:pPr>
      <w:r>
        <w:t xml:space="preserve">Assuming </w:t>
      </w:r>
      <w:r>
        <w:rPr>
          <w:rFonts w:hint="eastAsia"/>
        </w:rPr>
        <w:t xml:space="preserve">the first packet </w:t>
      </w:r>
      <w:r>
        <w:t>arrives,</w:t>
      </w:r>
      <w:r>
        <w:rPr>
          <w:rFonts w:hint="eastAsia"/>
        </w:rPr>
        <w:t xml:space="preserve"> it </w:t>
      </w:r>
      <w:r>
        <w:t xml:space="preserve">is indicated to </w:t>
      </w:r>
      <w:r>
        <w:rPr>
          <w:rFonts w:hint="eastAsia"/>
        </w:rPr>
        <w:t xml:space="preserve">be transmitted </w:t>
      </w:r>
      <w:r>
        <w:t xml:space="preserve">at </w:t>
      </w:r>
      <w:r>
        <w:rPr>
          <w:rFonts w:hint="eastAsia"/>
        </w:rPr>
        <w:t>the 1</w:t>
      </w:r>
      <w:r>
        <w:rPr>
          <w:rFonts w:hint="eastAsia"/>
          <w:vertAlign w:val="superscript"/>
        </w:rPr>
        <w:t>st</w:t>
      </w:r>
      <w:r>
        <w:rPr>
          <w:rFonts w:hint="eastAsia"/>
        </w:rPr>
        <w:t xml:space="preserve"> and the 2</w:t>
      </w:r>
      <w:r>
        <w:rPr>
          <w:rFonts w:hint="eastAsia"/>
          <w:vertAlign w:val="superscript"/>
        </w:rPr>
        <w:t>nd</w:t>
      </w:r>
      <w:r>
        <w:rPr>
          <w:rFonts w:hint="eastAsia"/>
        </w:rPr>
        <w:t xml:space="preserve"> transmission occasions. </w:t>
      </w:r>
      <w:r>
        <w:t xml:space="preserve">Meanwhile, </w:t>
      </w:r>
      <w:r>
        <w:rPr>
          <w:rFonts w:hint="eastAsia"/>
        </w:rPr>
        <w:t>the unused transmission occasions</w:t>
      </w:r>
      <w:r>
        <w:t xml:space="preserve"> (3</w:t>
      </w:r>
      <w:r>
        <w:rPr>
          <w:vertAlign w:val="superscript"/>
        </w:rPr>
        <w:t>rd</w:t>
      </w:r>
      <w:r>
        <w:t xml:space="preserve"> and 4</w:t>
      </w:r>
      <w:r>
        <w:rPr>
          <w:vertAlign w:val="superscript"/>
        </w:rPr>
        <w:t>th</w:t>
      </w:r>
      <w:r>
        <w:t xml:space="preserve"> transmission occasion) are indicated</w:t>
      </w:r>
      <w:r>
        <w:rPr>
          <w:rFonts w:hint="eastAsia"/>
        </w:rPr>
        <w:t>. While from UE</w:t>
      </w:r>
      <w:r>
        <w:t>’</w:t>
      </w:r>
      <w:r>
        <w:rPr>
          <w:rFonts w:hint="eastAsia"/>
        </w:rPr>
        <w:t xml:space="preserve">s perspective, if resource indication is received, UE would </w:t>
      </w:r>
      <w:r>
        <w:t>not detect PDSCH there anymore</w:t>
      </w:r>
      <w:r>
        <w:rPr>
          <w:rFonts w:hint="eastAsia"/>
        </w:rPr>
        <w:t xml:space="preserve">. </w:t>
      </w:r>
      <w:r>
        <w:t xml:space="preserve">In addition, UE would not </w:t>
      </w:r>
      <w:r>
        <w:rPr>
          <w:rFonts w:hint="eastAsia"/>
        </w:rPr>
        <w:t>feedback</w:t>
      </w:r>
      <w:r>
        <w:t xml:space="preserve"> HARQ-A</w:t>
      </w:r>
      <w:r>
        <w:rPr>
          <w:rFonts w:hint="eastAsia"/>
          <w:lang w:val="en-US" w:eastAsia="zh-CN"/>
        </w:rPr>
        <w:t>C</w:t>
      </w:r>
      <w:r>
        <w:t>K corresponding to those unused PDSCH(s), which also saves significant signaling overhead and therefore is beneficial for the system capacity.</w:t>
      </w:r>
    </w:p>
    <w:p>
      <w:pPr>
        <w:pStyle w:val="4"/>
        <w:spacing w:after="120"/>
        <w:ind w:right="210"/>
      </w:pPr>
      <w:r>
        <w:rPr>
          <w:rFonts w:hint="eastAsia"/>
        </w:rPr>
        <w:t xml:space="preserve">Simulation </w:t>
      </w:r>
      <w:r>
        <w:rPr>
          <w:rFonts w:hint="eastAsia" w:eastAsia="宋体"/>
        </w:rPr>
        <w:t>results for potential XR-specific SPS enhancement</w:t>
      </w:r>
    </w:p>
    <w:p>
      <w:pPr>
        <w:spacing w:before="120" w:after="120"/>
      </w:pPr>
      <w:r>
        <w:rPr>
          <w:rFonts w:hint="eastAsia"/>
        </w:rPr>
        <w:t>The potential XR-specific SPS enhancement</w:t>
      </w:r>
      <w:r>
        <w:t>s</w:t>
      </w:r>
      <w:r>
        <w:rPr>
          <w:rFonts w:hint="eastAsia"/>
        </w:rPr>
        <w:t xml:space="preserve"> are considered in the simulation. </w:t>
      </w:r>
    </w:p>
    <w:p>
      <w:pPr>
        <w:spacing w:before="120" w:after="120"/>
      </w:pPr>
      <w:r>
        <w:rPr>
          <w:rFonts w:hint="eastAsia"/>
        </w:rPr>
        <w:t xml:space="preserve">The XR capacity results for Indoor HotSpot scenarios are provided. The traffic model is AR/VR: 30Mbps@60fps with 10ms PDB, the parameters are listed in </w:t>
      </w:r>
      <w:r>
        <w:rPr>
          <w:bCs/>
        </w:rPr>
        <w:t>Table A.1</w:t>
      </w:r>
      <w:r>
        <w:rPr>
          <w:rFonts w:hint="eastAsia"/>
        </w:rPr>
        <w:t>. For power saving results, the power model is list</w:t>
      </w:r>
      <w:r>
        <w:t>ed</w:t>
      </w:r>
      <w:r>
        <w:rPr>
          <w:rFonts w:hint="eastAsia"/>
        </w:rPr>
        <w:t xml:space="preserve"> in </w:t>
      </w:r>
      <w:r>
        <w:rPr>
          <w:bCs/>
        </w:rPr>
        <w:t>Table B.1</w:t>
      </w:r>
      <w:r>
        <w:rPr>
          <w:rFonts w:hint="eastAsia"/>
        </w:rPr>
        <w:t xml:space="preserve"> and</w:t>
      </w:r>
      <w:r>
        <w:rPr>
          <w:bCs/>
        </w:rPr>
        <w:t xml:space="preserve"> Table B.2</w:t>
      </w:r>
      <w:r>
        <w:rPr>
          <w:rFonts w:hint="eastAsia"/>
        </w:rPr>
        <w:t>.</w:t>
      </w:r>
    </w:p>
    <w:p>
      <w:pPr>
        <w:spacing w:before="120" w:after="120"/>
      </w:pPr>
      <w:r>
        <w:rPr>
          <w:bCs/>
        </w:rPr>
        <w:t>Figure 3</w:t>
      </w:r>
      <w:r>
        <w:rPr>
          <w:rFonts w:hint="eastAsia"/>
        </w:rPr>
        <w:t xml:space="preserve"> depicts the capacity performance (ratio of satisfied UEs) among the following cases:</w:t>
      </w:r>
    </w:p>
    <w:p>
      <w:pPr>
        <w:numPr>
          <w:ilvl w:val="0"/>
          <w:numId w:val="7"/>
        </w:numPr>
        <w:spacing w:before="120" w:after="120"/>
      </w:pPr>
      <w:r>
        <w:rPr>
          <w:rFonts w:hint="eastAsia"/>
        </w:rPr>
        <w:t>Case 1: Multiple SPS configurations with fixed MCS level.</w:t>
      </w:r>
    </w:p>
    <w:p>
      <w:pPr>
        <w:numPr>
          <w:ilvl w:val="0"/>
          <w:numId w:val="7"/>
        </w:numPr>
        <w:spacing w:before="120" w:after="120"/>
      </w:pPr>
      <w:r>
        <w:rPr>
          <w:rFonts w:hint="eastAsia"/>
        </w:rPr>
        <w:t>Case 2: Multiple SPS configurations with update MCS.</w:t>
      </w: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2"/>
        <w:gridCol w:w="4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643" w:type="dxa"/>
          </w:tcPr>
          <w:p>
            <w:pPr>
              <w:spacing w:before="120" w:after="120" w:line="276" w:lineRule="auto"/>
              <w:rPr>
                <w:rFonts w:eastAsiaTheme="minorEastAsia"/>
                <w:i/>
                <w:iCs/>
                <w:lang w:val="fr-FR"/>
              </w:rPr>
            </w:pPr>
            <w:r>
              <w:drawing>
                <wp:inline distT="0" distB="0" distL="114300" distR="114300">
                  <wp:extent cx="2880360" cy="2160270"/>
                  <wp:effectExtent l="0" t="0" r="0" b="11430"/>
                  <wp:docPr id="3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8"/>
                          <pic:cNvPicPr>
                            <a:picLocks noChangeAspect="1"/>
                          </pic:cNvPicPr>
                        </pic:nvPicPr>
                        <pic:blipFill>
                          <a:blip r:embed="rId12"/>
                          <a:stretch>
                            <a:fillRect/>
                          </a:stretch>
                        </pic:blipFill>
                        <pic:spPr>
                          <a:xfrm>
                            <a:off x="0" y="0"/>
                            <a:ext cx="2880360" cy="2160270"/>
                          </a:xfrm>
                          <a:prstGeom prst="rect">
                            <a:avLst/>
                          </a:prstGeom>
                          <a:noFill/>
                          <a:ln>
                            <a:noFill/>
                          </a:ln>
                        </pic:spPr>
                      </pic:pic>
                    </a:graphicData>
                  </a:graphic>
                </wp:inline>
              </w:drawing>
            </w:r>
          </w:p>
        </w:tc>
        <w:tc>
          <w:tcPr>
            <w:tcW w:w="4643" w:type="dxa"/>
          </w:tcPr>
          <w:p>
            <w:pPr>
              <w:spacing w:before="120" w:after="120" w:line="276" w:lineRule="auto"/>
              <w:rPr>
                <w:rFonts w:eastAsiaTheme="minorEastAsia"/>
                <w:i/>
                <w:iCs/>
                <w:lang w:val="fr-FR"/>
              </w:rPr>
            </w:pPr>
            <w:r>
              <w:drawing>
                <wp:inline distT="0" distB="0" distL="114300" distR="114300">
                  <wp:extent cx="2880360" cy="2160270"/>
                  <wp:effectExtent l="0" t="0" r="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288036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pStyle w:val="29"/>
              <w:numPr>
                <w:ilvl w:val="0"/>
                <w:numId w:val="8"/>
              </w:numPr>
              <w:spacing w:after="120" w:line="276" w:lineRule="auto"/>
              <w:ind w:left="540" w:hanging="269"/>
              <w:jc w:val="center"/>
              <w:rPr>
                <w:kern w:val="0"/>
                <w:sz w:val="21"/>
                <w:szCs w:val="21"/>
                <w:lang w:val="en-GB" w:eastAsia="en-US"/>
              </w:rPr>
            </w:pPr>
            <w:r>
              <w:rPr>
                <w:kern w:val="0"/>
                <w:sz w:val="21"/>
                <w:szCs w:val="21"/>
                <w:lang w:val="en-GB" w:eastAsia="en-US"/>
              </w:rPr>
              <w:t>Capacity</w:t>
            </w:r>
          </w:p>
        </w:tc>
        <w:tc>
          <w:tcPr>
            <w:tcW w:w="4643" w:type="dxa"/>
          </w:tcPr>
          <w:p>
            <w:pPr>
              <w:pStyle w:val="29"/>
              <w:numPr>
                <w:ilvl w:val="0"/>
                <w:numId w:val="8"/>
              </w:numPr>
              <w:spacing w:after="120" w:line="276" w:lineRule="auto"/>
              <w:ind w:left="540" w:hanging="269"/>
              <w:jc w:val="center"/>
              <w:rPr>
                <w:kern w:val="0"/>
                <w:sz w:val="21"/>
                <w:szCs w:val="21"/>
                <w:lang w:val="en-GB" w:eastAsia="en-US"/>
              </w:rPr>
            </w:pPr>
            <w:r>
              <w:rPr>
                <w:kern w:val="0"/>
                <w:sz w:val="21"/>
                <w:szCs w:val="21"/>
                <w:lang w:val="en-GB" w:eastAsia="en-US"/>
              </w:rPr>
              <w:t>R</w:t>
            </w:r>
            <w:r>
              <w:rPr>
                <w:rFonts w:hint="eastAsia" w:eastAsia="宋体"/>
                <w:kern w:val="0"/>
                <w:sz w:val="21"/>
                <w:szCs w:val="21"/>
              </w:rPr>
              <w:t xml:space="preserve">esource </w:t>
            </w:r>
            <w:r>
              <w:rPr>
                <w:kern w:val="0"/>
                <w:sz w:val="21"/>
                <w:szCs w:val="21"/>
                <w:lang w:val="en-GB" w:eastAsia="en-US"/>
              </w:rPr>
              <w:t>U</w:t>
            </w:r>
            <w:r>
              <w:rPr>
                <w:rFonts w:hint="eastAsia" w:eastAsia="宋体"/>
                <w:kern w:val="0"/>
                <w:sz w:val="21"/>
                <w:szCs w:val="21"/>
              </w:rPr>
              <w:t>sage</w:t>
            </w:r>
          </w:p>
        </w:tc>
      </w:tr>
    </w:tbl>
    <w:p>
      <w:pPr>
        <w:spacing w:before="120" w:after="120"/>
        <w:jc w:val="center"/>
        <w:rPr>
          <w:i w:val="0"/>
          <w:iCs/>
          <w:highlight w:val="green"/>
        </w:rPr>
      </w:pPr>
      <w:r>
        <w:rPr>
          <w:i w:val="0"/>
          <w:iCs/>
        </w:rPr>
        <w:t xml:space="preserve">Figure 3 Capacity simulation results and resource </w:t>
      </w:r>
      <w:r>
        <w:rPr>
          <w:rFonts w:hint="eastAsia"/>
          <w:i w:val="0"/>
          <w:iCs/>
          <w:lang w:val="en-US" w:eastAsia="zh-CN"/>
        </w:rPr>
        <w:t xml:space="preserve">usage </w:t>
      </w:r>
      <w:r>
        <w:rPr>
          <w:i w:val="0"/>
          <w:iCs/>
        </w:rPr>
        <w:t xml:space="preserve">of different Case for AR video transmission in </w:t>
      </w:r>
      <w:r>
        <w:rPr>
          <w:rFonts w:hint="eastAsia"/>
          <w:i w:val="0"/>
          <w:iCs/>
          <w:lang w:val="en-US" w:eastAsia="zh-CN"/>
        </w:rPr>
        <w:t>D</w:t>
      </w:r>
      <w:r>
        <w:rPr>
          <w:i w:val="0"/>
          <w:iCs/>
        </w:rPr>
        <w:t>L Indoor Hotspot scenario</w:t>
      </w:r>
    </w:p>
    <w:p>
      <w:pPr>
        <w:spacing w:before="120" w:after="120"/>
      </w:pPr>
      <w:r>
        <w:rPr>
          <w:rFonts w:hint="eastAsia"/>
        </w:rPr>
        <w:t xml:space="preserve">In </w:t>
      </w:r>
      <w:r>
        <w:rPr>
          <w:rFonts w:hint="eastAsia"/>
          <w:b w:val="0"/>
          <w:bCs w:val="0"/>
        </w:rPr>
        <w:t>Figure 3</w:t>
      </w:r>
      <w:r>
        <w:rPr>
          <w:rFonts w:hint="eastAsia"/>
        </w:rPr>
        <w:t>, it can be observed that capacity performance of multiple SPS configured with fixed MCS level is limited to [0] UE</w:t>
      </w:r>
      <w:r>
        <w:t xml:space="preserve"> </w:t>
      </w:r>
      <w:r>
        <w:rPr>
          <w:highlight w:val="none"/>
        </w:rPr>
        <w:t>@90% satisfied UE percentage</w:t>
      </w:r>
      <w:r>
        <w:t>.</w:t>
      </w:r>
      <w:r>
        <w:rPr>
          <w:rFonts w:hint="eastAsia"/>
        </w:rPr>
        <w:t xml:space="preserve"> </w:t>
      </w:r>
      <w:r>
        <w:t xml:space="preserve">And the </w:t>
      </w:r>
      <w:r>
        <w:rPr>
          <w:rFonts w:hint="eastAsia"/>
        </w:rPr>
        <w:t xml:space="preserve">capacity performance increases to [5.1] UEs </w:t>
      </w:r>
      <w:r>
        <w:rPr>
          <w:highlight w:val="none"/>
        </w:rPr>
        <w:t>@90% satisfied UE percentage</w:t>
      </w:r>
      <w:r>
        <w:t xml:space="preserve"> if</w:t>
      </w:r>
      <w:r>
        <w:rPr>
          <w:rFonts w:hint="eastAsia"/>
        </w:rPr>
        <w:t xml:space="preserve"> introducing update MCS level with relatively low resource usage</w:t>
      </w:r>
      <w:r>
        <w:t xml:space="preserve"> as shown in </w:t>
      </w:r>
      <w:r>
        <w:rPr>
          <w:rFonts w:hint="eastAsia"/>
          <w:lang w:val="en-US" w:eastAsia="zh-CN"/>
        </w:rPr>
        <w:t>F</w:t>
      </w:r>
      <w:r>
        <w:t>igure 3(b)</w:t>
      </w:r>
      <w:r>
        <w:rPr>
          <w:rFonts w:hint="eastAsia"/>
        </w:rPr>
        <w:t>.</w:t>
      </w:r>
    </w:p>
    <w:p>
      <w:pPr>
        <w:pStyle w:val="50"/>
        <w:spacing w:before="120" w:after="120"/>
        <w:jc w:val="both"/>
        <w:rPr>
          <w:lang w:val="en-US" w:eastAsia="zh-CN"/>
        </w:rPr>
      </w:pPr>
      <w:bookmarkStart w:id="2" w:name="_Toc785"/>
      <w:r>
        <w:rPr>
          <w:rFonts w:hint="eastAsia"/>
          <w:lang w:val="en-US" w:eastAsia="zh-CN"/>
        </w:rPr>
        <w:t>Compared to legacy SPS, MCS update techniques are</w:t>
      </w:r>
      <w:r>
        <w:rPr>
          <w:lang w:val="en-US" w:eastAsia="zh-CN"/>
        </w:rPr>
        <w:t xml:space="preserve"> beneficial</w:t>
      </w:r>
      <w:r>
        <w:rPr>
          <w:rFonts w:hint="eastAsia"/>
          <w:lang w:val="en-US" w:eastAsia="zh-CN"/>
        </w:rPr>
        <w:t xml:space="preserve"> to increase resource utilization, which results in capacity performance enhancement.</w:t>
      </w:r>
      <w:bookmarkEnd w:id="2"/>
    </w:p>
    <w:p>
      <w:pPr>
        <w:spacing w:before="120" w:after="120"/>
      </w:pPr>
      <w:r>
        <w:rPr>
          <w:rFonts w:hint="eastAsia"/>
        </w:rPr>
        <w:t>Table 1 depicts the power saving performance (ratio of satisfied UEs) among the following cases, considering the following cases are based on the Case 2 mentioned above:</w:t>
      </w:r>
    </w:p>
    <w:p>
      <w:pPr>
        <w:numPr>
          <w:ilvl w:val="0"/>
          <w:numId w:val="9"/>
        </w:numPr>
        <w:spacing w:before="120" w:after="120"/>
      </w:pPr>
      <w:r>
        <w:rPr>
          <w:rFonts w:hint="eastAsia"/>
        </w:rPr>
        <w:t xml:space="preserve">Case 2-1: Multiple SPS configurations without unused resources </w:t>
      </w:r>
      <w:r>
        <w:t>indication/</w:t>
      </w:r>
      <w:r>
        <w:rPr>
          <w:rFonts w:hint="eastAsia"/>
        </w:rPr>
        <w:t>release.</w:t>
      </w:r>
    </w:p>
    <w:p>
      <w:pPr>
        <w:numPr>
          <w:ilvl w:val="0"/>
          <w:numId w:val="10"/>
        </w:numPr>
        <w:spacing w:before="120" w:after="120"/>
      </w:pPr>
      <w:r>
        <w:rPr>
          <w:rFonts w:hint="eastAsia"/>
        </w:rPr>
        <w:t xml:space="preserve">Case 2-2: Multiple SPS configurations with unused resources </w:t>
      </w:r>
      <w:r>
        <w:t>indication/</w:t>
      </w:r>
      <w:r>
        <w:rPr>
          <w:rFonts w:hint="eastAsia"/>
        </w:rPr>
        <w:t>release.</w:t>
      </w:r>
    </w:p>
    <w:p>
      <w:pPr>
        <w:spacing w:before="120" w:after="120"/>
        <w:jc w:val="center"/>
      </w:pPr>
      <w:r>
        <w:rPr>
          <w:rFonts w:hint="eastAsia"/>
        </w:rPr>
        <w:t>Table 1 P</w:t>
      </w:r>
      <w:r>
        <w:t xml:space="preserve">ower consumption results </w:t>
      </w:r>
      <w:r>
        <w:rPr>
          <w:rFonts w:hint="eastAsia"/>
        </w:rPr>
        <w:t>of Case 2-1 and Case 2-2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57"/>
        <w:gridCol w:w="1402"/>
        <w:gridCol w:w="1969"/>
        <w:gridCol w:w="1297"/>
        <w:gridCol w:w="1417"/>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0" w:type="auto"/>
            <w:tcMar>
              <w:top w:w="0" w:type="dxa"/>
              <w:left w:w="108" w:type="dxa"/>
              <w:bottom w:w="0" w:type="dxa"/>
              <w:right w:w="108" w:type="dxa"/>
            </w:tcMar>
            <w:vAlign w:val="center"/>
          </w:tcPr>
          <w:p>
            <w:pPr>
              <w:spacing w:beforeLines="0" w:after="0" w:afterLines="0" w:line="240" w:lineRule="auto"/>
              <w:jc w:val="center"/>
              <w:rPr>
                <w:b/>
                <w:bCs/>
                <w:szCs w:val="21"/>
              </w:rPr>
            </w:pPr>
            <w:r>
              <w:rPr>
                <w:b/>
                <w:bCs/>
                <w:szCs w:val="21"/>
              </w:rPr>
              <w:t>Scheme</w:t>
            </w:r>
          </w:p>
        </w:tc>
        <w:tc>
          <w:tcPr>
            <w:tcW w:w="0" w:type="auto"/>
            <w:tcMar>
              <w:top w:w="0" w:type="dxa"/>
              <w:left w:w="108" w:type="dxa"/>
              <w:bottom w:w="0" w:type="dxa"/>
              <w:right w:w="108" w:type="dxa"/>
            </w:tcMar>
            <w:vAlign w:val="center"/>
          </w:tcPr>
          <w:p>
            <w:pPr>
              <w:spacing w:beforeLines="0" w:after="0" w:afterLines="0" w:line="240" w:lineRule="auto"/>
              <w:jc w:val="center"/>
              <w:rPr>
                <w:b/>
                <w:bCs/>
                <w:szCs w:val="21"/>
              </w:rPr>
            </w:pPr>
            <w:r>
              <w:rPr>
                <w:b/>
                <w:bCs/>
                <w:szCs w:val="21"/>
              </w:rPr>
              <w:t>#UEs per cell</w:t>
            </w:r>
          </w:p>
        </w:tc>
        <w:tc>
          <w:tcPr>
            <w:tcW w:w="1969" w:type="dxa"/>
            <w:tcMar>
              <w:top w:w="0" w:type="dxa"/>
              <w:left w:w="108" w:type="dxa"/>
              <w:bottom w:w="0" w:type="dxa"/>
              <w:right w:w="108" w:type="dxa"/>
            </w:tcMar>
            <w:vAlign w:val="center"/>
          </w:tcPr>
          <w:p>
            <w:pPr>
              <w:spacing w:beforeLines="0" w:after="0" w:afterLines="0" w:line="240" w:lineRule="auto"/>
              <w:jc w:val="center"/>
              <w:rPr>
                <w:b/>
                <w:bCs/>
                <w:szCs w:val="21"/>
              </w:rPr>
            </w:pPr>
            <w:r>
              <w:rPr>
                <w:b/>
                <w:bCs/>
                <w:szCs w:val="21"/>
              </w:rPr>
              <w:t>C1=floor(Capacity)</w:t>
            </w:r>
          </w:p>
        </w:tc>
        <w:tc>
          <w:tcPr>
            <w:tcW w:w="1297" w:type="dxa"/>
            <w:tcMar>
              <w:top w:w="0" w:type="dxa"/>
              <w:left w:w="108" w:type="dxa"/>
              <w:bottom w:w="0" w:type="dxa"/>
              <w:right w:w="108" w:type="dxa"/>
            </w:tcMar>
            <w:vAlign w:val="center"/>
          </w:tcPr>
          <w:p>
            <w:pPr>
              <w:spacing w:beforeLines="0" w:after="0" w:afterLines="0" w:line="240" w:lineRule="auto"/>
              <w:jc w:val="center"/>
              <w:rPr>
                <w:b/>
                <w:bCs/>
                <w:szCs w:val="21"/>
              </w:rPr>
            </w:pPr>
            <w:r>
              <w:rPr>
                <w:b/>
                <w:bCs/>
                <w:szCs w:val="21"/>
              </w:rPr>
              <w:t>Percentage of satisfied UE</w:t>
            </w:r>
          </w:p>
        </w:tc>
        <w:tc>
          <w:tcPr>
            <w:tcW w:w="1417" w:type="dxa"/>
            <w:tcMar>
              <w:top w:w="0" w:type="dxa"/>
              <w:left w:w="108" w:type="dxa"/>
              <w:bottom w:w="0" w:type="dxa"/>
              <w:right w:w="108" w:type="dxa"/>
            </w:tcMar>
            <w:vAlign w:val="center"/>
          </w:tcPr>
          <w:p>
            <w:pPr>
              <w:spacing w:beforeLines="0" w:after="0" w:afterLines="0" w:line="240" w:lineRule="auto"/>
              <w:jc w:val="center"/>
              <w:rPr>
                <w:b/>
                <w:bCs/>
                <w:szCs w:val="21"/>
              </w:rPr>
            </w:pPr>
            <w:r>
              <w:rPr>
                <w:b/>
                <w:bCs/>
                <w:szCs w:val="21"/>
              </w:rPr>
              <w:t>Type of counted UEs</w:t>
            </w:r>
          </w:p>
        </w:tc>
        <w:tc>
          <w:tcPr>
            <w:tcW w:w="2009" w:type="dxa"/>
            <w:tcMar>
              <w:top w:w="0" w:type="dxa"/>
              <w:left w:w="108" w:type="dxa"/>
              <w:bottom w:w="0" w:type="dxa"/>
              <w:right w:w="108" w:type="dxa"/>
            </w:tcMar>
            <w:vAlign w:val="center"/>
          </w:tcPr>
          <w:p>
            <w:pPr>
              <w:spacing w:beforeLines="0" w:after="0" w:afterLines="0" w:line="240" w:lineRule="auto"/>
              <w:jc w:val="center"/>
              <w:rPr>
                <w:b/>
                <w:bCs/>
                <w:szCs w:val="21"/>
              </w:rPr>
            </w:pPr>
            <w:r>
              <w:rPr>
                <w:b/>
                <w:bCs/>
                <w:szCs w:val="21"/>
              </w:rPr>
              <w:t xml:space="preserve">Mean PS gain compared to Case </w:t>
            </w:r>
            <w:r>
              <w:rPr>
                <w:rFonts w:hint="eastAsia"/>
                <w:b/>
                <w:bCs/>
                <w:szCs w:val="21"/>
              </w:rPr>
              <w:t>2-</w:t>
            </w:r>
            <w:r>
              <w:rPr>
                <w:b/>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3" w:hRule="atLeast"/>
          <w:jc w:val="center"/>
        </w:trPr>
        <w:tc>
          <w:tcPr>
            <w:tcW w:w="0" w:type="auto"/>
            <w:vMerge w:val="restart"/>
            <w:tcMar>
              <w:top w:w="0" w:type="dxa"/>
              <w:left w:w="108" w:type="dxa"/>
              <w:bottom w:w="0" w:type="dxa"/>
              <w:right w:w="108" w:type="dxa"/>
            </w:tcMar>
            <w:vAlign w:val="center"/>
          </w:tcPr>
          <w:p>
            <w:pPr>
              <w:spacing w:beforeLines="0" w:after="0" w:afterLines="0" w:line="240" w:lineRule="auto"/>
              <w:rPr>
                <w:szCs w:val="21"/>
              </w:rPr>
            </w:pPr>
            <w:r>
              <w:rPr>
                <w:szCs w:val="21"/>
              </w:rPr>
              <w:t>Case 2-1</w:t>
            </w:r>
          </w:p>
        </w:tc>
        <w:tc>
          <w:tcPr>
            <w:tcW w:w="0" w:type="auto"/>
            <w:vMerge w:val="restart"/>
            <w:tcMar>
              <w:top w:w="0" w:type="dxa"/>
              <w:left w:w="108" w:type="dxa"/>
              <w:bottom w:w="0" w:type="dxa"/>
              <w:right w:w="108" w:type="dxa"/>
            </w:tcMar>
            <w:vAlign w:val="center"/>
          </w:tcPr>
          <w:p>
            <w:pPr>
              <w:spacing w:beforeLines="0" w:after="0" w:afterLines="0" w:line="240" w:lineRule="auto"/>
              <w:jc w:val="center"/>
              <w:rPr>
                <w:szCs w:val="21"/>
              </w:rPr>
            </w:pPr>
            <w:r>
              <w:rPr>
                <w:szCs w:val="21"/>
              </w:rPr>
              <w:t>5</w:t>
            </w:r>
          </w:p>
        </w:tc>
        <w:tc>
          <w:tcPr>
            <w:tcW w:w="1969" w:type="dxa"/>
            <w:vMerge w:val="restart"/>
            <w:tcMar>
              <w:top w:w="0" w:type="dxa"/>
              <w:left w:w="108" w:type="dxa"/>
              <w:bottom w:w="0" w:type="dxa"/>
              <w:right w:w="108" w:type="dxa"/>
            </w:tcMar>
            <w:vAlign w:val="center"/>
          </w:tcPr>
          <w:p>
            <w:pPr>
              <w:spacing w:beforeLines="0" w:after="0" w:afterLines="0" w:line="240" w:lineRule="auto"/>
              <w:jc w:val="center"/>
              <w:rPr>
                <w:szCs w:val="21"/>
              </w:rPr>
            </w:pPr>
            <w:r>
              <w:rPr>
                <w:szCs w:val="21"/>
              </w:rPr>
              <w:t>5</w:t>
            </w:r>
          </w:p>
        </w:tc>
        <w:tc>
          <w:tcPr>
            <w:tcW w:w="1297" w:type="dxa"/>
            <w:vMerge w:val="restart"/>
            <w:tcMar>
              <w:top w:w="0" w:type="dxa"/>
              <w:left w:w="108" w:type="dxa"/>
              <w:bottom w:w="0" w:type="dxa"/>
              <w:right w:w="108" w:type="dxa"/>
            </w:tcMar>
            <w:vAlign w:val="center"/>
          </w:tcPr>
          <w:p>
            <w:pPr>
              <w:spacing w:beforeLines="0" w:after="0" w:afterLines="0" w:line="240" w:lineRule="auto"/>
              <w:jc w:val="center"/>
              <w:rPr>
                <w:szCs w:val="21"/>
              </w:rPr>
            </w:pPr>
            <w:r>
              <w:rPr>
                <w:szCs w:val="21"/>
              </w:rPr>
              <w:t>92.09%</w:t>
            </w:r>
          </w:p>
        </w:tc>
        <w:tc>
          <w:tcPr>
            <w:tcW w:w="1417" w:type="dxa"/>
            <w:tcMar>
              <w:top w:w="0" w:type="dxa"/>
              <w:left w:w="108" w:type="dxa"/>
              <w:bottom w:w="0" w:type="dxa"/>
              <w:right w:w="108" w:type="dxa"/>
            </w:tcMar>
            <w:vAlign w:val="center"/>
          </w:tcPr>
          <w:p>
            <w:pPr>
              <w:spacing w:beforeLines="0" w:after="0" w:afterLines="0" w:line="240" w:lineRule="auto"/>
              <w:rPr>
                <w:szCs w:val="21"/>
              </w:rPr>
            </w:pPr>
            <w:r>
              <w:rPr>
                <w:szCs w:val="21"/>
              </w:rPr>
              <w:t>All UE</w:t>
            </w:r>
          </w:p>
        </w:tc>
        <w:tc>
          <w:tcPr>
            <w:tcW w:w="2009" w:type="dxa"/>
            <w:tcMar>
              <w:top w:w="0" w:type="dxa"/>
              <w:left w:w="108" w:type="dxa"/>
              <w:bottom w:w="0" w:type="dxa"/>
              <w:right w:w="108" w:type="dxa"/>
            </w:tcMar>
            <w:vAlign w:val="center"/>
          </w:tcPr>
          <w:p>
            <w:pPr>
              <w:spacing w:beforeLines="0" w:after="0" w:afterLines="0" w:line="240" w:lineRule="auto"/>
              <w:jc w:val="center"/>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0" w:type="auto"/>
            <w:vMerge w:val="continue"/>
            <w:tcMar>
              <w:top w:w="0" w:type="dxa"/>
              <w:left w:w="108" w:type="dxa"/>
              <w:bottom w:w="0" w:type="dxa"/>
              <w:right w:w="108" w:type="dxa"/>
            </w:tcMar>
            <w:vAlign w:val="center"/>
          </w:tcPr>
          <w:p>
            <w:pPr>
              <w:spacing w:beforeLines="0" w:after="0" w:afterLines="0" w:line="240" w:lineRule="auto"/>
              <w:rPr>
                <w:szCs w:val="21"/>
              </w:rPr>
            </w:pPr>
          </w:p>
        </w:tc>
        <w:tc>
          <w:tcPr>
            <w:tcW w:w="0" w:type="auto"/>
            <w:vMerge w:val="continue"/>
            <w:tcMar>
              <w:top w:w="0" w:type="dxa"/>
              <w:left w:w="108" w:type="dxa"/>
              <w:bottom w:w="0" w:type="dxa"/>
              <w:right w:w="108" w:type="dxa"/>
            </w:tcMar>
            <w:vAlign w:val="center"/>
          </w:tcPr>
          <w:p>
            <w:pPr>
              <w:spacing w:beforeLines="0" w:after="0" w:afterLines="0" w:line="240" w:lineRule="auto"/>
              <w:jc w:val="center"/>
              <w:rPr>
                <w:szCs w:val="21"/>
              </w:rPr>
            </w:pPr>
          </w:p>
        </w:tc>
        <w:tc>
          <w:tcPr>
            <w:tcW w:w="1969" w:type="dxa"/>
            <w:vMerge w:val="continue"/>
            <w:tcMar>
              <w:top w:w="0" w:type="dxa"/>
              <w:left w:w="108" w:type="dxa"/>
              <w:bottom w:w="0" w:type="dxa"/>
              <w:right w:w="108" w:type="dxa"/>
            </w:tcMar>
            <w:vAlign w:val="center"/>
          </w:tcPr>
          <w:p>
            <w:pPr>
              <w:spacing w:beforeLines="0" w:after="0" w:afterLines="0" w:line="240" w:lineRule="auto"/>
              <w:jc w:val="center"/>
              <w:rPr>
                <w:szCs w:val="21"/>
              </w:rPr>
            </w:pPr>
          </w:p>
        </w:tc>
        <w:tc>
          <w:tcPr>
            <w:tcW w:w="1297" w:type="dxa"/>
            <w:vMerge w:val="continue"/>
            <w:tcMar>
              <w:top w:w="0" w:type="dxa"/>
              <w:left w:w="108" w:type="dxa"/>
              <w:bottom w:w="0" w:type="dxa"/>
              <w:right w:w="108" w:type="dxa"/>
            </w:tcMar>
            <w:vAlign w:val="center"/>
          </w:tcPr>
          <w:p>
            <w:pPr>
              <w:spacing w:beforeLines="0" w:after="0" w:afterLines="0" w:line="240" w:lineRule="auto"/>
              <w:jc w:val="center"/>
              <w:rPr>
                <w:szCs w:val="21"/>
              </w:rPr>
            </w:pPr>
          </w:p>
        </w:tc>
        <w:tc>
          <w:tcPr>
            <w:tcW w:w="1417" w:type="dxa"/>
            <w:tcMar>
              <w:top w:w="0" w:type="dxa"/>
              <w:left w:w="108" w:type="dxa"/>
              <w:bottom w:w="0" w:type="dxa"/>
              <w:right w:w="108" w:type="dxa"/>
            </w:tcMar>
            <w:vAlign w:val="center"/>
          </w:tcPr>
          <w:p>
            <w:pPr>
              <w:spacing w:beforeLines="0" w:after="0" w:afterLines="0" w:line="240" w:lineRule="auto"/>
              <w:rPr>
                <w:szCs w:val="21"/>
              </w:rPr>
            </w:pPr>
            <w:r>
              <w:rPr>
                <w:szCs w:val="21"/>
              </w:rPr>
              <w:t>Satisfied UE</w:t>
            </w:r>
          </w:p>
        </w:tc>
        <w:tc>
          <w:tcPr>
            <w:tcW w:w="2009" w:type="dxa"/>
            <w:tcMar>
              <w:top w:w="0" w:type="dxa"/>
              <w:left w:w="108" w:type="dxa"/>
              <w:bottom w:w="0" w:type="dxa"/>
              <w:right w:w="108" w:type="dxa"/>
            </w:tcMar>
            <w:vAlign w:val="center"/>
          </w:tcPr>
          <w:p>
            <w:pPr>
              <w:spacing w:beforeLines="0" w:after="0" w:afterLines="0" w:line="240" w:lineRule="auto"/>
              <w:jc w:val="center"/>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0" w:type="auto"/>
            <w:vMerge w:val="restart"/>
            <w:tcMar>
              <w:top w:w="0" w:type="dxa"/>
              <w:left w:w="108" w:type="dxa"/>
              <w:bottom w:w="0" w:type="dxa"/>
              <w:right w:w="108" w:type="dxa"/>
            </w:tcMar>
            <w:vAlign w:val="center"/>
          </w:tcPr>
          <w:p>
            <w:pPr>
              <w:spacing w:beforeLines="0" w:after="0" w:afterLines="0" w:line="240" w:lineRule="auto"/>
              <w:rPr>
                <w:szCs w:val="21"/>
              </w:rPr>
            </w:pPr>
            <w:r>
              <w:rPr>
                <w:szCs w:val="21"/>
              </w:rPr>
              <w:t>Case 2-2</w:t>
            </w:r>
          </w:p>
        </w:tc>
        <w:tc>
          <w:tcPr>
            <w:tcW w:w="0" w:type="auto"/>
            <w:vMerge w:val="restart"/>
            <w:tcMar>
              <w:top w:w="0" w:type="dxa"/>
              <w:left w:w="108" w:type="dxa"/>
              <w:bottom w:w="0" w:type="dxa"/>
              <w:right w:w="108" w:type="dxa"/>
            </w:tcMar>
            <w:vAlign w:val="center"/>
          </w:tcPr>
          <w:p>
            <w:pPr>
              <w:spacing w:beforeLines="0" w:after="0" w:afterLines="0" w:line="240" w:lineRule="auto"/>
              <w:jc w:val="center"/>
              <w:rPr>
                <w:szCs w:val="21"/>
              </w:rPr>
            </w:pPr>
            <w:r>
              <w:rPr>
                <w:szCs w:val="21"/>
              </w:rPr>
              <w:t>5</w:t>
            </w:r>
          </w:p>
        </w:tc>
        <w:tc>
          <w:tcPr>
            <w:tcW w:w="1969" w:type="dxa"/>
            <w:vMerge w:val="restart"/>
            <w:tcMar>
              <w:top w:w="0" w:type="dxa"/>
              <w:left w:w="108" w:type="dxa"/>
              <w:bottom w:w="0" w:type="dxa"/>
              <w:right w:w="108" w:type="dxa"/>
            </w:tcMar>
            <w:vAlign w:val="center"/>
          </w:tcPr>
          <w:p>
            <w:pPr>
              <w:spacing w:beforeLines="0" w:after="0" w:afterLines="0" w:line="240" w:lineRule="auto"/>
              <w:jc w:val="center"/>
              <w:rPr>
                <w:szCs w:val="21"/>
              </w:rPr>
            </w:pPr>
            <w:r>
              <w:rPr>
                <w:szCs w:val="21"/>
              </w:rPr>
              <w:t>5</w:t>
            </w:r>
          </w:p>
        </w:tc>
        <w:tc>
          <w:tcPr>
            <w:tcW w:w="1297" w:type="dxa"/>
            <w:vMerge w:val="restart"/>
            <w:tcMar>
              <w:top w:w="0" w:type="dxa"/>
              <w:left w:w="108" w:type="dxa"/>
              <w:bottom w:w="0" w:type="dxa"/>
              <w:right w:w="108" w:type="dxa"/>
            </w:tcMar>
            <w:vAlign w:val="center"/>
          </w:tcPr>
          <w:p>
            <w:pPr>
              <w:spacing w:beforeLines="0" w:after="0" w:afterLines="0" w:line="240" w:lineRule="auto"/>
              <w:jc w:val="center"/>
              <w:rPr>
                <w:szCs w:val="21"/>
              </w:rPr>
            </w:pPr>
            <w:r>
              <w:rPr>
                <w:szCs w:val="21"/>
              </w:rPr>
              <w:t>92.09%</w:t>
            </w:r>
          </w:p>
        </w:tc>
        <w:tc>
          <w:tcPr>
            <w:tcW w:w="1417" w:type="dxa"/>
            <w:tcMar>
              <w:top w:w="0" w:type="dxa"/>
              <w:left w:w="108" w:type="dxa"/>
              <w:bottom w:w="0" w:type="dxa"/>
              <w:right w:w="108" w:type="dxa"/>
            </w:tcMar>
            <w:vAlign w:val="center"/>
          </w:tcPr>
          <w:p>
            <w:pPr>
              <w:spacing w:beforeLines="0" w:after="0" w:afterLines="0" w:line="240" w:lineRule="auto"/>
              <w:rPr>
                <w:szCs w:val="21"/>
              </w:rPr>
            </w:pPr>
            <w:r>
              <w:rPr>
                <w:szCs w:val="21"/>
              </w:rPr>
              <w:t>All UE</w:t>
            </w:r>
          </w:p>
        </w:tc>
        <w:tc>
          <w:tcPr>
            <w:tcW w:w="2009" w:type="dxa"/>
            <w:tcMar>
              <w:top w:w="0" w:type="dxa"/>
              <w:left w:w="108" w:type="dxa"/>
              <w:bottom w:w="0" w:type="dxa"/>
              <w:right w:w="108" w:type="dxa"/>
            </w:tcMar>
            <w:vAlign w:val="center"/>
          </w:tcPr>
          <w:p>
            <w:pPr>
              <w:spacing w:beforeLines="0" w:after="0" w:afterLines="0" w:line="240" w:lineRule="auto"/>
              <w:jc w:val="center"/>
              <w:rPr>
                <w:szCs w:val="21"/>
              </w:rPr>
            </w:pPr>
            <w:r>
              <w:rPr>
                <w:szCs w:val="21"/>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5" w:hRule="atLeast"/>
          <w:jc w:val="center"/>
        </w:trPr>
        <w:tc>
          <w:tcPr>
            <w:tcW w:w="0" w:type="auto"/>
            <w:vMerge w:val="continue"/>
            <w:tcMar>
              <w:top w:w="0" w:type="dxa"/>
              <w:left w:w="108" w:type="dxa"/>
              <w:bottom w:w="0" w:type="dxa"/>
              <w:right w:w="108" w:type="dxa"/>
            </w:tcMar>
            <w:vAlign w:val="center"/>
          </w:tcPr>
          <w:p>
            <w:pPr>
              <w:spacing w:beforeLines="0" w:after="0" w:afterLines="0" w:line="240" w:lineRule="auto"/>
              <w:rPr>
                <w:szCs w:val="21"/>
              </w:rPr>
            </w:pPr>
          </w:p>
        </w:tc>
        <w:tc>
          <w:tcPr>
            <w:tcW w:w="0" w:type="auto"/>
            <w:vMerge w:val="continue"/>
            <w:tcMar>
              <w:top w:w="0" w:type="dxa"/>
              <w:left w:w="108" w:type="dxa"/>
              <w:bottom w:w="0" w:type="dxa"/>
              <w:right w:w="108" w:type="dxa"/>
            </w:tcMar>
            <w:vAlign w:val="center"/>
          </w:tcPr>
          <w:p>
            <w:pPr>
              <w:spacing w:beforeLines="0" w:after="0" w:afterLines="0" w:line="240" w:lineRule="auto"/>
              <w:rPr>
                <w:szCs w:val="21"/>
              </w:rPr>
            </w:pPr>
          </w:p>
        </w:tc>
        <w:tc>
          <w:tcPr>
            <w:tcW w:w="1969" w:type="dxa"/>
            <w:vMerge w:val="continue"/>
            <w:tcMar>
              <w:top w:w="0" w:type="dxa"/>
              <w:left w:w="108" w:type="dxa"/>
              <w:bottom w:w="0" w:type="dxa"/>
              <w:right w:w="108" w:type="dxa"/>
            </w:tcMar>
            <w:vAlign w:val="center"/>
          </w:tcPr>
          <w:p>
            <w:pPr>
              <w:spacing w:beforeLines="0" w:after="0" w:afterLines="0" w:line="240" w:lineRule="auto"/>
              <w:rPr>
                <w:szCs w:val="21"/>
              </w:rPr>
            </w:pPr>
          </w:p>
        </w:tc>
        <w:tc>
          <w:tcPr>
            <w:tcW w:w="1297" w:type="dxa"/>
            <w:vMerge w:val="continue"/>
            <w:tcMar>
              <w:top w:w="0" w:type="dxa"/>
              <w:left w:w="108" w:type="dxa"/>
              <w:bottom w:w="0" w:type="dxa"/>
              <w:right w:w="108" w:type="dxa"/>
            </w:tcMar>
            <w:vAlign w:val="center"/>
          </w:tcPr>
          <w:p>
            <w:pPr>
              <w:spacing w:beforeLines="0" w:after="0" w:afterLines="0" w:line="240" w:lineRule="auto"/>
              <w:rPr>
                <w:szCs w:val="21"/>
              </w:rPr>
            </w:pPr>
          </w:p>
        </w:tc>
        <w:tc>
          <w:tcPr>
            <w:tcW w:w="1417" w:type="dxa"/>
            <w:tcMar>
              <w:top w:w="0" w:type="dxa"/>
              <w:left w:w="108" w:type="dxa"/>
              <w:bottom w:w="0" w:type="dxa"/>
              <w:right w:w="108" w:type="dxa"/>
            </w:tcMar>
            <w:vAlign w:val="center"/>
          </w:tcPr>
          <w:p>
            <w:pPr>
              <w:spacing w:beforeLines="0" w:after="0" w:afterLines="0" w:line="240" w:lineRule="auto"/>
              <w:rPr>
                <w:szCs w:val="21"/>
              </w:rPr>
            </w:pPr>
            <w:r>
              <w:rPr>
                <w:szCs w:val="21"/>
              </w:rPr>
              <w:t>Satisfied UE</w:t>
            </w:r>
          </w:p>
        </w:tc>
        <w:tc>
          <w:tcPr>
            <w:tcW w:w="2009" w:type="dxa"/>
            <w:tcMar>
              <w:top w:w="0" w:type="dxa"/>
              <w:left w:w="108" w:type="dxa"/>
              <w:bottom w:w="0" w:type="dxa"/>
              <w:right w:w="108" w:type="dxa"/>
            </w:tcMar>
            <w:vAlign w:val="center"/>
          </w:tcPr>
          <w:p>
            <w:pPr>
              <w:spacing w:beforeLines="0" w:after="0" w:afterLines="0" w:line="240" w:lineRule="auto"/>
              <w:jc w:val="center"/>
              <w:rPr>
                <w:szCs w:val="21"/>
              </w:rPr>
            </w:pPr>
            <w:r>
              <w:rPr>
                <w:szCs w:val="21"/>
              </w:rPr>
              <w:t>76%</w:t>
            </w:r>
          </w:p>
        </w:tc>
      </w:tr>
    </w:tbl>
    <w:p>
      <w:pPr>
        <w:spacing w:before="120" w:after="120"/>
      </w:pPr>
      <w:r>
        <w:t>As shown i</w:t>
      </w:r>
      <w:r>
        <w:rPr>
          <w:rFonts w:hint="eastAsia"/>
        </w:rPr>
        <w:t>n Table 1</w:t>
      </w:r>
      <w:r>
        <w:t>,</w:t>
      </w:r>
      <w:r>
        <w:rPr>
          <w:rFonts w:hint="eastAsia"/>
        </w:rPr>
        <w:t xml:space="preserve"> </w:t>
      </w:r>
      <w:r>
        <w:t xml:space="preserve">if </w:t>
      </w:r>
      <w:r>
        <w:rPr>
          <w:rFonts w:hint="eastAsia"/>
        </w:rPr>
        <w:t xml:space="preserve">unused transmission occasion </w:t>
      </w:r>
      <w:r>
        <w:t xml:space="preserve">is indicated, </w:t>
      </w:r>
      <w:r>
        <w:rPr>
          <w:rFonts w:hint="eastAsia"/>
        </w:rPr>
        <w:t>the power consumption of UE can be dramatically reduced.</w:t>
      </w:r>
    </w:p>
    <w:p>
      <w:pPr>
        <w:pStyle w:val="50"/>
        <w:spacing w:before="120" w:after="120"/>
        <w:jc w:val="both"/>
        <w:rPr>
          <w:lang w:val="en-US" w:eastAsia="zh-CN"/>
        </w:rPr>
      </w:pPr>
      <w:bookmarkStart w:id="3" w:name="_Toc21054"/>
      <w:r>
        <w:rPr>
          <w:rFonts w:hint="eastAsia"/>
          <w:lang w:val="en-US" w:eastAsia="zh-CN"/>
        </w:rPr>
        <w:t>Unused resources release techniques help UE save power consumption from blind SPS PDSCH detection.</w:t>
      </w:r>
      <w:bookmarkEnd w:id="3"/>
    </w:p>
    <w:p>
      <w:pPr>
        <w:pStyle w:val="53"/>
        <w:spacing w:before="120" w:after="120"/>
      </w:pPr>
      <w:r>
        <w:rPr>
          <w:lang w:val="en-US" w:eastAsia="zh-CN"/>
        </w:rPr>
        <w:t xml:space="preserve"> </w:t>
      </w:r>
      <w:bookmarkStart w:id="4" w:name="_Toc22048"/>
      <w:r>
        <w:rPr>
          <w:rFonts w:hint="eastAsia"/>
          <w:lang w:val="en-US" w:eastAsia="zh-CN"/>
        </w:rPr>
        <w:t xml:space="preserve">Semi-persistent scheduling enhancement techniques, including e.g., </w:t>
      </w:r>
      <w:r>
        <w:rPr>
          <w:lang w:val="en-US" w:eastAsia="zh-CN"/>
        </w:rPr>
        <w:t xml:space="preserve">indication of </w:t>
      </w:r>
      <w:r>
        <w:rPr>
          <w:rFonts w:hint="eastAsia"/>
          <w:lang w:val="en-US" w:eastAsia="zh-CN"/>
        </w:rPr>
        <w:t>unused resources and update</w:t>
      </w:r>
      <w:r>
        <w:rPr>
          <w:lang w:val="en-US" w:eastAsia="zh-CN"/>
        </w:rPr>
        <w:t>d</w:t>
      </w:r>
      <w:r>
        <w:rPr>
          <w:rFonts w:hint="eastAsia"/>
          <w:lang w:val="en-US" w:eastAsia="zh-CN"/>
        </w:rPr>
        <w:t xml:space="preserve"> MCS level can be studied for XR service transmission.</w:t>
      </w:r>
      <w:bookmarkEnd w:id="4"/>
      <w:r>
        <w:rPr>
          <w:rFonts w:hint="eastAsia"/>
          <w:lang w:val="en-US" w:eastAsia="zh-CN"/>
        </w:rPr>
        <w:t xml:space="preserve">  </w:t>
      </w:r>
    </w:p>
    <w:p>
      <w:pPr>
        <w:pStyle w:val="53"/>
        <w:numPr>
          <w:ilvl w:val="0"/>
          <w:numId w:val="0"/>
        </w:numPr>
        <w:spacing w:before="120" w:after="120"/>
      </w:pPr>
    </w:p>
    <w:p>
      <w:pPr>
        <w:pStyle w:val="3"/>
        <w:spacing w:before="120" w:after="120"/>
        <w:ind w:left="991" w:right="210" w:hanging="991" w:hangingChars="354"/>
      </w:pPr>
      <w:r>
        <w:rPr>
          <w:rFonts w:hint="eastAsia" w:eastAsia="宋体"/>
        </w:rPr>
        <w:t>Uplink CG enhancement</w:t>
      </w:r>
    </w:p>
    <w:p>
      <w:pPr>
        <w:pStyle w:val="4"/>
        <w:spacing w:after="120"/>
        <w:ind w:right="210"/>
      </w:pPr>
      <w:r>
        <w:rPr>
          <w:rFonts w:hint="eastAsia" w:eastAsia="宋体"/>
        </w:rPr>
        <w:t>CG transmission for XR traffic analysis</w:t>
      </w:r>
    </w:p>
    <w:p>
      <w:pPr>
        <w:spacing w:before="120" w:after="120"/>
      </w:pPr>
      <w:r>
        <w:rPr>
          <w:rFonts w:hint="eastAsia"/>
        </w:rPr>
        <w:t>Similar with SPS transmission, CG transmission</w:t>
      </w:r>
      <w:r>
        <w:t xml:space="preserve"> is also beneficial for reducing latency and overhead of control signaling. And for UL configured grant, both scheduling delay and time for SR/BSR transmission can be saved, which indeed contribute to a ultra-low UL latency. </w:t>
      </w:r>
    </w:p>
    <w:p>
      <w:pPr>
        <w:spacing w:before="120" w:after="120"/>
      </w:pPr>
      <w:r>
        <w:t>In the case of XR traffic transmission, e.g.,</w:t>
      </w:r>
      <w:r>
        <w:rPr>
          <w:rFonts w:hint="eastAsia"/>
        </w:rPr>
        <w:t xml:space="preserve"> </w:t>
      </w:r>
      <w:r>
        <w:t>f</w:t>
      </w:r>
      <w:r>
        <w:rPr>
          <w:rFonts w:hint="eastAsia"/>
        </w:rPr>
        <w:t xml:space="preserve">or Pose/Control traffic model, </w:t>
      </w:r>
      <w:r>
        <w:t>obviously</w:t>
      </w:r>
      <w:r>
        <w:rPr>
          <w:rFonts w:hint="eastAsia"/>
        </w:rPr>
        <w:t xml:space="preserve"> current CG transmission fits to </w:t>
      </w:r>
      <w:r>
        <w:t xml:space="preserve">the characteristic of periodic arrival and fixed packet size. </w:t>
      </w:r>
      <w:r>
        <w:rPr>
          <w:rFonts w:hint="eastAsia"/>
        </w:rPr>
        <w:t xml:space="preserve"> </w:t>
      </w:r>
    </w:p>
    <w:p>
      <w:pPr>
        <w:pStyle w:val="50"/>
        <w:spacing w:before="120" w:after="120"/>
        <w:jc w:val="both"/>
      </w:pPr>
      <w:r>
        <w:rPr>
          <w:rFonts w:hint="eastAsia"/>
          <w:lang w:val="en-US" w:eastAsia="zh-CN"/>
        </w:rPr>
        <w:t xml:space="preserve"> </w:t>
      </w:r>
      <w:bookmarkStart w:id="5" w:name="_Toc1894"/>
      <w:r>
        <w:rPr>
          <w:rFonts w:hint="eastAsia"/>
          <w:lang w:val="en-US" w:eastAsia="zh-CN"/>
        </w:rPr>
        <w:t xml:space="preserve">Current CG transmission is suitable for Pose/Control traffic </w:t>
      </w:r>
      <w:r>
        <w:rPr>
          <w:lang w:val="en-US" w:eastAsia="zh-CN"/>
        </w:rPr>
        <w:t>transmission</w:t>
      </w:r>
      <w:r>
        <w:rPr>
          <w:rFonts w:hint="eastAsia"/>
          <w:lang w:val="en-US" w:eastAsia="zh-CN"/>
        </w:rPr>
        <w:t>.</w:t>
      </w:r>
      <w:bookmarkEnd w:id="5"/>
    </w:p>
    <w:p>
      <w:pPr>
        <w:spacing w:before="120" w:after="120"/>
      </w:pPr>
      <w:r>
        <w:t>Whereas</w:t>
      </w:r>
      <w:r>
        <w:rPr>
          <w:rFonts w:hint="eastAsia"/>
        </w:rPr>
        <w:t xml:space="preserve"> for AR aggregating scene/video/data/audio traffic model, characterized by large and various packet size, multiple CG configurations </w:t>
      </w:r>
      <w:r>
        <w:t>or</w:t>
      </w:r>
      <w:r>
        <w:rPr>
          <w:rFonts w:hint="eastAsia"/>
        </w:rPr>
        <w:t xml:space="preserve"> a small periodicity CG configuration</w:t>
      </w:r>
      <w:r>
        <w:t xml:space="preserve"> may be adopted to adapt the attribute of packet size</w:t>
      </w:r>
      <w:r>
        <w:rPr>
          <w:rFonts w:hint="eastAsia"/>
        </w:rPr>
        <w:t xml:space="preserve">. </w:t>
      </w:r>
      <w:r>
        <w:t>And following issues are identified:</w:t>
      </w:r>
    </w:p>
    <w:p>
      <w:pPr>
        <w:numPr>
          <w:ilvl w:val="0"/>
          <w:numId w:val="11"/>
        </w:numPr>
        <w:spacing w:before="120" w:after="120"/>
      </w:pPr>
      <w:r>
        <w:t>L</w:t>
      </w:r>
      <w:r>
        <w:rPr>
          <w:rFonts w:hint="eastAsia"/>
        </w:rPr>
        <w:t xml:space="preserve">ow resource utilization: </w:t>
      </w:r>
      <w:r>
        <w:t>O</w:t>
      </w:r>
      <w:r>
        <w:rPr>
          <w:rFonts w:hint="eastAsia"/>
        </w:rPr>
        <w:t>wing to the various packet size, the transmission occasions usage is unpredictable for gNB</w:t>
      </w:r>
      <w:r>
        <w:t>,</w:t>
      </w:r>
      <w:r>
        <w:rPr>
          <w:rFonts w:hint="eastAsia"/>
        </w:rPr>
        <w:t xml:space="preserve"> </w:t>
      </w:r>
      <w:r>
        <w:t>s</w:t>
      </w:r>
      <w:r>
        <w:rPr>
          <w:rFonts w:hint="eastAsia"/>
        </w:rPr>
        <w:t xml:space="preserve">o the CG configuration </w:t>
      </w:r>
      <w:r>
        <w:t xml:space="preserve">can be determined </w:t>
      </w:r>
      <w:r>
        <w:rPr>
          <w:rFonts w:hint="eastAsia"/>
        </w:rPr>
        <w:t xml:space="preserve">based on the largest packet size and worst MCS level, which leads to </w:t>
      </w:r>
      <w:r>
        <w:t>very low resource utilization. Moreover, only partial preconfigured PUSCHs are used and some PUSCH(s) are</w:t>
      </w:r>
      <w:r>
        <w:rPr>
          <w:rFonts w:hint="eastAsia"/>
        </w:rPr>
        <w:t xml:space="preserve"> redundant </w:t>
      </w:r>
      <w:r>
        <w:t>in case of medium packet size or good channel condition in that situation.</w:t>
      </w:r>
    </w:p>
    <w:p>
      <w:pPr>
        <w:numPr>
          <w:ilvl w:val="0"/>
          <w:numId w:val="11"/>
        </w:numPr>
        <w:spacing w:before="120" w:after="120"/>
      </w:pPr>
      <w:r>
        <w:t>Inter-UE resource collision</w:t>
      </w:r>
      <w:r>
        <w:rPr>
          <w:rFonts w:hint="eastAsia"/>
        </w:rPr>
        <w:t xml:space="preserve">: </w:t>
      </w:r>
      <w:r>
        <w:t xml:space="preserve">If the CG occasions for different UEs are completely orthogonal, the system capacity will be rather limited. </w:t>
      </w:r>
      <w:r>
        <w:rPr>
          <w:highlight w:val="none"/>
        </w:rPr>
        <w:t>Hence it</w:t>
      </w:r>
      <w:r>
        <w:rPr>
          <w:rFonts w:hint="eastAsia"/>
          <w:highlight w:val="none"/>
          <w:lang w:val="en-US" w:eastAsia="zh-CN"/>
        </w:rPr>
        <w:t xml:space="preserve"> i</w:t>
      </w:r>
      <w:r>
        <w:rPr>
          <w:highlight w:val="none"/>
        </w:rPr>
        <w:t>s promising to configure partially overlapped CG PUSCHs resources for different UE</w:t>
      </w:r>
      <w:r>
        <w:rPr>
          <w:rFonts w:hint="eastAsia"/>
        </w:rPr>
        <w:t xml:space="preserve">s, </w:t>
      </w:r>
      <w:r>
        <w:t>there would be</w:t>
      </w:r>
      <w:r>
        <w:rPr>
          <w:rFonts w:hint="eastAsia"/>
        </w:rPr>
        <w:t xml:space="preserve"> a risk of transmission collision</w:t>
      </w:r>
      <w:r>
        <w:t xml:space="preserve"> among different UEs</w:t>
      </w:r>
      <w:r>
        <w:rPr>
          <w:rFonts w:hint="eastAsia"/>
        </w:rPr>
        <w:t>.</w:t>
      </w:r>
      <w:r>
        <w:t xml:space="preserve"> That may degrade the system capacity</w:t>
      </w:r>
      <w:r>
        <w:rPr>
          <w:rFonts w:hint="eastAsia"/>
        </w:rPr>
        <w:t>.</w:t>
      </w:r>
    </w:p>
    <w:p>
      <w:pPr>
        <w:numPr>
          <w:ilvl w:val="0"/>
          <w:numId w:val="11"/>
        </w:numPr>
        <w:spacing w:before="120" w:after="120"/>
      </w:pPr>
      <w:r>
        <w:t>P</w:t>
      </w:r>
      <w:r>
        <w:rPr>
          <w:rFonts w:hint="eastAsia"/>
        </w:rPr>
        <w:t>eriodicity</w:t>
      </w:r>
      <w:r>
        <w:t xml:space="preserve"> misalignment</w:t>
      </w:r>
      <w:r>
        <w:rPr>
          <w:rFonts w:hint="eastAsia"/>
        </w:rPr>
        <w:t xml:space="preserve">: Typical frame rate of XR traffic is 30FPS, 60FPS, 120FPS and so on in [1]. Therefore, the periodicity of XR traffic is the inverse of the frame rate, which is a non-integer value. Whereas the periodicities of legacy </w:t>
      </w:r>
      <w:r>
        <w:rPr>
          <w:rFonts w:hint="eastAsia"/>
          <w:lang w:val="en-US" w:eastAsia="zh-CN"/>
        </w:rPr>
        <w:t xml:space="preserve">CG </w:t>
      </w:r>
      <w:r>
        <w:rPr>
          <w:rFonts w:hint="eastAsia"/>
        </w:rPr>
        <w:t xml:space="preserve">configuration are integer, which results in a misalignment between XR packet arrival and </w:t>
      </w:r>
      <w:r>
        <w:rPr>
          <w:rFonts w:hint="eastAsia"/>
          <w:lang w:val="en-US" w:eastAsia="zh-CN"/>
        </w:rPr>
        <w:t xml:space="preserve">CG </w:t>
      </w:r>
      <w:r>
        <w:rPr>
          <w:rFonts w:hint="eastAsia"/>
        </w:rPr>
        <w:t>P</w:t>
      </w:r>
      <w:r>
        <w:rPr>
          <w:rFonts w:hint="eastAsia"/>
          <w:lang w:val="en-US" w:eastAsia="zh-CN"/>
        </w:rPr>
        <w:t>U</w:t>
      </w:r>
      <w:r>
        <w:rPr>
          <w:rFonts w:hint="eastAsia"/>
        </w:rPr>
        <w:t xml:space="preserve">SCH. Therefore, the transmission delay would increase to some </w:t>
      </w:r>
      <w:r>
        <w:t>extent</w:t>
      </w:r>
      <w:r>
        <w:rPr>
          <w:rFonts w:hint="eastAsia"/>
          <w:lang w:val="en-US" w:eastAsia="zh-CN"/>
        </w:rPr>
        <w:t>.</w:t>
      </w:r>
      <w:r>
        <w:rPr>
          <w:rFonts w:hint="eastAsia"/>
        </w:rPr>
        <w:t xml:space="preserve">    </w:t>
      </w:r>
    </w:p>
    <w:p>
      <w:pPr>
        <w:pStyle w:val="50"/>
        <w:spacing w:before="120" w:after="120"/>
        <w:jc w:val="both"/>
        <w:rPr>
          <w:lang w:val="en-US" w:eastAsia="zh-CN"/>
        </w:rPr>
      </w:pPr>
      <w:bookmarkStart w:id="6" w:name="_Toc25683"/>
      <w:r>
        <w:rPr>
          <w:rFonts w:hint="eastAsia"/>
          <w:lang w:val="en-US" w:eastAsia="zh-CN"/>
        </w:rPr>
        <w:t xml:space="preserve">Three </w:t>
      </w:r>
      <w:r>
        <w:rPr>
          <w:lang w:val="en-US" w:eastAsia="zh-CN"/>
        </w:rPr>
        <w:t xml:space="preserve">problems for CG transmission are identified: low resource utilization, </w:t>
      </w:r>
      <w:r>
        <w:t>Inter-UE resource collision</w:t>
      </w:r>
      <w:r>
        <w:rPr>
          <w:rFonts w:hint="eastAsia"/>
          <w:lang w:val="en-US" w:eastAsia="zh-CN"/>
        </w:rPr>
        <w:t xml:space="preserve"> and p</w:t>
      </w:r>
      <w:r>
        <w:rPr>
          <w:rFonts w:hint="eastAsia"/>
        </w:rPr>
        <w:t>eriodicity</w:t>
      </w:r>
      <w:r>
        <w:t xml:space="preserve"> misalignment</w:t>
      </w:r>
      <w:r>
        <w:rPr>
          <w:lang w:val="en-US" w:eastAsia="zh-CN"/>
        </w:rPr>
        <w:t>.</w:t>
      </w:r>
      <w:bookmarkEnd w:id="6"/>
    </w:p>
    <w:p>
      <w:pPr>
        <w:pStyle w:val="4"/>
        <w:spacing w:after="120"/>
        <w:ind w:right="210"/>
      </w:pPr>
      <w:r>
        <w:rPr>
          <w:rFonts w:hint="eastAsia" w:eastAsia="宋体"/>
        </w:rPr>
        <w:t>Potential XR-specific CG enhancement</w:t>
      </w:r>
    </w:p>
    <w:p>
      <w:pPr>
        <w:spacing w:before="120" w:after="120"/>
      </w:pPr>
      <w:r>
        <w:rPr>
          <w:rFonts w:hint="eastAsia"/>
        </w:rPr>
        <w:t xml:space="preserve">For the </w:t>
      </w:r>
      <w:r>
        <w:t>first issue</w:t>
      </w:r>
      <w:r>
        <w:rPr>
          <w:rFonts w:hint="eastAsia"/>
        </w:rPr>
        <w:t xml:space="preserve"> mentioned above, </w:t>
      </w:r>
      <w:r>
        <w:t>i.e., low resource utilization</w:t>
      </w:r>
      <w:r>
        <w:rPr>
          <w:rFonts w:hint="eastAsia"/>
        </w:rPr>
        <w:t xml:space="preserve">, </w:t>
      </w:r>
      <w:r>
        <w:t xml:space="preserve">it can be addressed by </w:t>
      </w:r>
      <w:r>
        <w:rPr>
          <w:rFonts w:hint="eastAsia"/>
        </w:rPr>
        <w:t xml:space="preserve">resources </w:t>
      </w:r>
      <w:r>
        <w:t>indication/</w:t>
      </w:r>
      <w:r>
        <w:rPr>
          <w:rFonts w:hint="eastAsia"/>
        </w:rPr>
        <w:t>release</w:t>
      </w:r>
      <w:r>
        <w:t xml:space="preserve">. </w:t>
      </w:r>
    </w:p>
    <w:p>
      <w:pPr>
        <w:spacing w:before="120" w:after="120"/>
        <w:jc w:val="center"/>
        <w:rPr>
          <w:rFonts w:hint="eastAsia" w:eastAsia="宋体"/>
          <w:lang w:eastAsia="zh-CN"/>
        </w:rPr>
      </w:pPr>
      <w:r>
        <w:rPr>
          <w:rFonts w:hint="eastAsia" w:eastAsia="宋体"/>
          <w:lang w:eastAsia="zh-CN"/>
        </w:rPr>
        <w:drawing>
          <wp:inline distT="0" distB="0" distL="114300" distR="114300">
            <wp:extent cx="5038725" cy="1800225"/>
            <wp:effectExtent l="0" t="0" r="0" b="9525"/>
            <wp:docPr id="12" name="图片 12" descr="释放说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释放说明"/>
                    <pic:cNvPicPr>
                      <a:picLocks noChangeAspect="1"/>
                    </pic:cNvPicPr>
                  </pic:nvPicPr>
                  <pic:blipFill>
                    <a:blip r:embed="rId14"/>
                    <a:stretch>
                      <a:fillRect/>
                    </a:stretch>
                  </pic:blipFill>
                  <pic:spPr>
                    <a:xfrm>
                      <a:off x="0" y="0"/>
                      <a:ext cx="5038725" cy="1800225"/>
                    </a:xfrm>
                    <a:prstGeom prst="rect">
                      <a:avLst/>
                    </a:prstGeom>
                  </pic:spPr>
                </pic:pic>
              </a:graphicData>
            </a:graphic>
          </wp:inline>
        </w:drawing>
      </w:r>
    </w:p>
    <w:p>
      <w:pPr>
        <w:spacing w:before="120" w:after="120"/>
        <w:jc w:val="center"/>
        <w:rPr>
          <w:i w:val="0"/>
          <w:iCs w:val="0"/>
        </w:rPr>
      </w:pPr>
      <w:r>
        <w:rPr>
          <w:rFonts w:hint="eastAsia"/>
          <w:i w:val="0"/>
          <w:iCs w:val="0"/>
        </w:rPr>
        <w:t xml:space="preserve">Figure 4 </w:t>
      </w:r>
      <w:r>
        <w:rPr>
          <w:i w:val="0"/>
          <w:iCs w:val="0"/>
        </w:rPr>
        <w:t>P</w:t>
      </w:r>
      <w:r>
        <w:rPr>
          <w:rFonts w:hint="eastAsia"/>
          <w:i w:val="0"/>
          <w:iCs w:val="0"/>
        </w:rPr>
        <w:t xml:space="preserve">rocedure of uplink unused transmission occasion release </w:t>
      </w:r>
    </w:p>
    <w:p>
      <w:pPr>
        <w:spacing w:before="120" w:after="120"/>
      </w:pPr>
      <w:r>
        <w:t>For example, assistance information can be</w:t>
      </w:r>
      <w:r>
        <w:rPr>
          <w:rFonts w:hint="eastAsia"/>
        </w:rPr>
        <w:t xml:space="preserve"> transmitted by UE. Then gNB is capable of being aware of the </w:t>
      </w:r>
      <w:r>
        <w:t>UE’s request</w:t>
      </w:r>
      <w:r>
        <w:rPr>
          <w:rFonts w:hint="eastAsia"/>
        </w:rPr>
        <w:t xml:space="preserve"> and releas</w:t>
      </w:r>
      <w:r>
        <w:t>es</w:t>
      </w:r>
      <w:r>
        <w:rPr>
          <w:rFonts w:hint="eastAsia"/>
        </w:rPr>
        <w:t xml:space="preserve"> the</w:t>
      </w:r>
      <w:r>
        <w:t xml:space="preserve"> redundant</w:t>
      </w:r>
      <w:r>
        <w:rPr>
          <w:rFonts w:hint="eastAsia"/>
        </w:rPr>
        <w:t xml:space="preserve"> resources so that these resources </w:t>
      </w:r>
      <w:r>
        <w:t>can</w:t>
      </w:r>
      <w:r>
        <w:rPr>
          <w:rFonts w:hint="eastAsia"/>
        </w:rPr>
        <w:t xml:space="preserve"> be used by other UEs or by other data transmission of this UE. </w:t>
      </w:r>
      <w:r>
        <w:t xml:space="preserve">As </w:t>
      </w:r>
      <w:r>
        <w:rPr>
          <w:rFonts w:hint="eastAsia"/>
        </w:rPr>
        <w:t>F</w:t>
      </w:r>
      <w:r>
        <w:t xml:space="preserve">igure 4 illustrated, </w:t>
      </w:r>
      <w:r>
        <w:rPr>
          <w:rFonts w:hint="eastAsia"/>
        </w:rPr>
        <w:t xml:space="preserve">packet1 </w:t>
      </w:r>
      <w:r>
        <w:t>intended for UE1</w:t>
      </w:r>
      <w:r>
        <w:rPr>
          <w:rFonts w:hint="eastAsia"/>
        </w:rPr>
        <w:t xml:space="preserve"> </w:t>
      </w:r>
      <w:r>
        <w:t>is indicated to be</w:t>
      </w:r>
      <w:r>
        <w:rPr>
          <w:rFonts w:hint="eastAsia"/>
        </w:rPr>
        <w:t xml:space="preserve"> transmitted </w:t>
      </w:r>
      <w:r>
        <w:t>at</w:t>
      </w:r>
      <w:r>
        <w:rPr>
          <w:rFonts w:hint="eastAsia"/>
        </w:rPr>
        <w:t xml:space="preserve"> the 1</w:t>
      </w:r>
      <w:r>
        <w:rPr>
          <w:vertAlign w:val="superscript"/>
        </w:rPr>
        <w:t>st</w:t>
      </w:r>
      <w:r>
        <w:rPr>
          <w:rFonts w:hint="eastAsia"/>
        </w:rPr>
        <w:t xml:space="preserve"> and the 2</w:t>
      </w:r>
      <w:r>
        <w:rPr>
          <w:vertAlign w:val="superscript"/>
        </w:rPr>
        <w:t>nd</w:t>
      </w:r>
      <w:r>
        <w:rPr>
          <w:rFonts w:hint="eastAsia"/>
        </w:rPr>
        <w:t xml:space="preserve"> </w:t>
      </w:r>
      <w:r>
        <w:t>CG PUSCH occasions, while the</w:t>
      </w:r>
      <w:r>
        <w:rPr>
          <w:rFonts w:hint="eastAsia"/>
        </w:rPr>
        <w:t xml:space="preserve"> </w:t>
      </w:r>
      <w:r>
        <w:t>3</w:t>
      </w:r>
      <w:r>
        <w:rPr>
          <w:rFonts w:hint="eastAsia"/>
          <w:vertAlign w:val="superscript"/>
        </w:rPr>
        <w:t>rd</w:t>
      </w:r>
      <w:r>
        <w:rPr>
          <w:rFonts w:hint="eastAsia"/>
        </w:rPr>
        <w:t xml:space="preserve"> and the 4</w:t>
      </w:r>
      <w:r>
        <w:rPr>
          <w:rFonts w:hint="eastAsia"/>
          <w:vertAlign w:val="superscript"/>
        </w:rPr>
        <w:t>th</w:t>
      </w:r>
      <w:r>
        <w:t xml:space="preserve"> CG PUSCH occasions will not be used by UE1. </w:t>
      </w:r>
    </w:p>
    <w:p>
      <w:pPr>
        <w:spacing w:before="120" w:after="120"/>
      </w:pPr>
      <w:r>
        <w:t>Furthermore, in order to boost the system capacity, m</w:t>
      </w:r>
      <w:r>
        <w:rPr>
          <w:rFonts w:hint="eastAsia"/>
        </w:rPr>
        <w:t xml:space="preserve">ultiple CG PUSCHs </w:t>
      </w:r>
      <w:r>
        <w:t>can be configured for multiple UEs. T</w:t>
      </w:r>
      <w:r>
        <w:rPr>
          <w:rFonts w:hint="eastAsia"/>
        </w:rPr>
        <w:t>he procedure of uplink resource indication is</w:t>
      </w:r>
      <w:r>
        <w:t xml:space="preserve"> shown in </w:t>
      </w:r>
      <w:r>
        <w:rPr>
          <w:rFonts w:hint="eastAsia"/>
        </w:rPr>
        <w:t>Figure 5</w:t>
      </w:r>
      <w:r>
        <w:rPr>
          <w:rFonts w:hint="eastAsia"/>
          <w:b/>
          <w:bCs/>
        </w:rPr>
        <w:t>.</w:t>
      </w:r>
    </w:p>
    <w:p>
      <w:pPr>
        <w:spacing w:before="120" w:after="120"/>
        <w:jc w:val="center"/>
        <w:rPr>
          <w:rFonts w:hint="eastAsia" w:eastAsia="宋体"/>
          <w:lang w:eastAsia="zh-CN"/>
        </w:rPr>
      </w:pPr>
      <w:r>
        <w:rPr>
          <w:rFonts w:hint="eastAsia" w:eastAsia="宋体"/>
          <w:lang w:eastAsia="zh-CN"/>
        </w:rPr>
        <w:drawing>
          <wp:inline distT="0" distB="0" distL="114300" distR="114300">
            <wp:extent cx="4867910" cy="2160270"/>
            <wp:effectExtent l="0" t="0" r="0" b="0"/>
            <wp:docPr id="13" name="图片 13" descr="简化版上行资源分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简化版上行资源分配"/>
                    <pic:cNvPicPr>
                      <a:picLocks noChangeAspect="1"/>
                    </pic:cNvPicPr>
                  </pic:nvPicPr>
                  <pic:blipFill>
                    <a:blip r:embed="rId15"/>
                    <a:stretch>
                      <a:fillRect/>
                    </a:stretch>
                  </pic:blipFill>
                  <pic:spPr>
                    <a:xfrm>
                      <a:off x="0" y="0"/>
                      <a:ext cx="4867910" cy="2160270"/>
                    </a:xfrm>
                    <a:prstGeom prst="rect">
                      <a:avLst/>
                    </a:prstGeom>
                  </pic:spPr>
                </pic:pic>
              </a:graphicData>
            </a:graphic>
          </wp:inline>
        </w:drawing>
      </w:r>
    </w:p>
    <w:p>
      <w:pPr>
        <w:spacing w:before="120" w:after="120"/>
        <w:jc w:val="center"/>
      </w:pPr>
      <w:r>
        <w:rPr>
          <w:rFonts w:hint="eastAsia"/>
          <w:i w:val="0"/>
          <w:iCs w:val="0"/>
        </w:rPr>
        <w:t>Figure 5 Procedure of uplink resource indication</w:t>
      </w:r>
    </w:p>
    <w:p>
      <w:pPr>
        <w:spacing w:before="120" w:after="120"/>
      </w:pPr>
      <w:r>
        <w:rPr>
          <w:rFonts w:hint="eastAsia"/>
        </w:rPr>
        <w:t xml:space="preserve">Firstly, </w:t>
      </w:r>
      <w:r>
        <w:rPr>
          <w:rFonts w:hint="eastAsia"/>
          <w:highlight w:val="none"/>
        </w:rPr>
        <w:t>multiple resource</w:t>
      </w:r>
      <w:r>
        <w:rPr>
          <w:rFonts w:hint="eastAsia"/>
        </w:rPr>
        <w:t xml:space="preserve"> are </w:t>
      </w:r>
      <w:r>
        <w:t>configured</w:t>
      </w:r>
      <w:r>
        <w:rPr>
          <w:rFonts w:hint="eastAsia"/>
        </w:rPr>
        <w:t xml:space="preserve"> for multiple UE</w:t>
      </w:r>
      <w:r>
        <w:rPr>
          <w:rFonts w:hint="eastAsia"/>
          <w:lang w:val="en-US" w:eastAsia="zh-CN"/>
        </w:rPr>
        <w:t>s</w:t>
      </w:r>
      <w:r>
        <w:t>,</w:t>
      </w:r>
      <w:r>
        <w:rPr>
          <w:rFonts w:hint="eastAsia"/>
        </w:rPr>
        <w:t xml:space="preserve"> e.g.</w:t>
      </w:r>
      <w:r>
        <w:t>,</w:t>
      </w:r>
      <w:r>
        <w:rPr>
          <w:rFonts w:hint="eastAsia"/>
        </w:rPr>
        <w:t xml:space="preserve"> UE1 and UE2</w:t>
      </w:r>
      <w:r>
        <w:t>.</w:t>
      </w:r>
      <w:r>
        <w:rPr>
          <w:rFonts w:hint="eastAsia"/>
        </w:rPr>
        <w:t xml:space="preserve"> Then, a</w:t>
      </w:r>
      <w:r>
        <w:t>ssistance information can be</w:t>
      </w:r>
      <w:r>
        <w:rPr>
          <w:rFonts w:hint="eastAsia"/>
        </w:rPr>
        <w:t xml:space="preserve"> </w:t>
      </w:r>
      <w:r>
        <w:t>reported</w:t>
      </w:r>
      <w:r>
        <w:rPr>
          <w:rFonts w:hint="eastAsia"/>
        </w:rPr>
        <w:t xml:space="preserve"> by UEs. When the assistance information of different UEs is received by gNB, gNB allocates resources for these UEs with the resource indication. </w:t>
      </w:r>
      <w:r>
        <w:t xml:space="preserve">UEs </w:t>
      </w:r>
      <w:r>
        <w:rPr>
          <w:rFonts w:hint="eastAsia"/>
        </w:rPr>
        <w:t xml:space="preserve">would </w:t>
      </w:r>
      <w:r>
        <w:t xml:space="preserve">transmit data according to the resources indication. </w:t>
      </w:r>
    </w:p>
    <w:p>
      <w:pPr>
        <w:spacing w:before="120" w:after="120"/>
      </w:pPr>
      <w:r>
        <w:rPr>
          <w:bCs/>
        </w:rPr>
        <w:t xml:space="preserve">In this way, </w:t>
      </w:r>
      <w:r>
        <w:rPr>
          <w:rFonts w:hint="eastAsia"/>
        </w:rPr>
        <w:t>different UEs transmission collision</w:t>
      </w:r>
      <w:r>
        <w:t xml:space="preserve"> can be resolved</w:t>
      </w:r>
      <w:r>
        <w:rPr>
          <w:rFonts w:hint="eastAsia"/>
        </w:rPr>
        <w:t xml:space="preserve">. </w:t>
      </w:r>
      <w:r>
        <w:t xml:space="preserve">Furthermore, </w:t>
      </w:r>
      <w:r>
        <w:rPr>
          <w:rFonts w:hint="eastAsia"/>
          <w:highlight w:val="none"/>
        </w:rPr>
        <w:t>t</w:t>
      </w:r>
      <w:r>
        <w:rPr>
          <w:highlight w:val="none"/>
        </w:rPr>
        <w:t>he resource indication</w:t>
      </w:r>
      <w:r>
        <w:rPr>
          <w:highlight w:val="none"/>
        </w:rPr>
        <w:t xml:space="preserve"> indicated by group-common DCI</w:t>
      </w:r>
      <w:r>
        <w:rPr>
          <w:highlight w:val="none"/>
        </w:rPr>
        <w:t xml:space="preserve"> for multiple UE can significantly reduce the overhead of signaling</w:t>
      </w:r>
      <w:r>
        <w:rPr>
          <w:highlight w:val="none"/>
        </w:rPr>
        <w:t>.</w:t>
      </w:r>
    </w:p>
    <w:p>
      <w:pPr>
        <w:pStyle w:val="4"/>
        <w:spacing w:after="120"/>
        <w:ind w:right="210"/>
      </w:pPr>
      <w:r>
        <w:rPr>
          <w:rFonts w:hint="eastAsia"/>
        </w:rPr>
        <w:t xml:space="preserve">Simulation </w:t>
      </w:r>
      <w:r>
        <w:rPr>
          <w:rFonts w:hint="eastAsia" w:eastAsia="宋体"/>
        </w:rPr>
        <w:t>results for potential XR-specific CG enhancement</w:t>
      </w:r>
    </w:p>
    <w:p>
      <w:pPr>
        <w:spacing w:before="120" w:after="120"/>
      </w:pPr>
      <w:r>
        <w:rPr>
          <w:rFonts w:hint="eastAsia"/>
        </w:rPr>
        <w:t>The potential XR-specific CG enhancement are considered in the simulation for capacity enhancement.</w:t>
      </w:r>
      <w:r>
        <w:t xml:space="preserve"> </w:t>
      </w:r>
      <w:r>
        <w:rPr>
          <w:rFonts w:hint="eastAsia"/>
        </w:rPr>
        <w:t xml:space="preserve">The XR capacity results for Indoor HotSpot scenarios are provided and the parameters for simulation are listed in Table A.2. The traffic model is 10Mbps@60fps with 30ms PDB. </w:t>
      </w:r>
    </w:p>
    <w:p>
      <w:pPr>
        <w:spacing w:before="120" w:after="120"/>
      </w:pPr>
      <w:r>
        <w:rPr>
          <w:rFonts w:hint="eastAsia"/>
        </w:rPr>
        <w:t>Figure 6 depicts the capacity performance (ratio of satisfied UEs) among the following cases:</w:t>
      </w:r>
    </w:p>
    <w:p>
      <w:pPr>
        <w:numPr>
          <w:ilvl w:val="0"/>
          <w:numId w:val="7"/>
        </w:numPr>
        <w:spacing w:before="120" w:after="120"/>
      </w:pPr>
      <w:r>
        <w:rPr>
          <w:rFonts w:hint="eastAsia"/>
        </w:rPr>
        <w:t>Case 1: Multiple CG configurations without resources indication</w:t>
      </w:r>
      <w:r>
        <w:t>/release</w:t>
      </w:r>
      <w:r>
        <w:rPr>
          <w:rFonts w:hint="eastAsia"/>
        </w:rPr>
        <w:t>.</w:t>
      </w:r>
    </w:p>
    <w:p>
      <w:pPr>
        <w:numPr>
          <w:ilvl w:val="0"/>
          <w:numId w:val="7"/>
        </w:numPr>
        <w:spacing w:before="120" w:after="120"/>
      </w:pPr>
      <w:r>
        <w:rPr>
          <w:rFonts w:hint="eastAsia"/>
        </w:rPr>
        <w:t>Case 2: Multiple CG configurations with resources indication</w:t>
      </w:r>
      <w:r>
        <w:t>/release</w:t>
      </w:r>
      <w:r>
        <w:rPr>
          <w:rFonts w:hint="eastAsia"/>
        </w:rPr>
        <w:t>.</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803" w:type="dxa"/>
          </w:tcPr>
          <w:p>
            <w:pPr>
              <w:spacing w:before="120" w:after="120" w:line="276" w:lineRule="auto"/>
              <w:jc w:val="center"/>
              <w:rPr>
                <w:rFonts w:eastAsiaTheme="minorEastAsia"/>
                <w:i/>
                <w:iCs/>
                <w:lang w:val="fr-FR"/>
              </w:rPr>
            </w:pPr>
            <w:bookmarkStart w:id="7" w:name="_Ref17297"/>
            <w:r>
              <w:drawing>
                <wp:inline distT="0" distB="0" distL="114300" distR="114300">
                  <wp:extent cx="3580765" cy="2685415"/>
                  <wp:effectExtent l="0" t="0" r="0" b="635"/>
                  <wp:docPr id="5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2"/>
                          <pic:cNvPicPr>
                            <a:picLocks noChangeAspect="1"/>
                          </pic:cNvPicPr>
                        </pic:nvPicPr>
                        <pic:blipFill>
                          <a:blip r:embed="rId16"/>
                          <a:stretch>
                            <a:fillRect/>
                          </a:stretch>
                        </pic:blipFill>
                        <pic:spPr>
                          <a:xfrm>
                            <a:off x="0" y="0"/>
                            <a:ext cx="3580765" cy="2685415"/>
                          </a:xfrm>
                          <a:prstGeom prst="rect">
                            <a:avLst/>
                          </a:prstGeom>
                          <a:noFill/>
                          <a:ln>
                            <a:noFill/>
                          </a:ln>
                        </pic:spPr>
                      </pic:pic>
                    </a:graphicData>
                  </a:graphic>
                </wp:inline>
              </w:drawing>
            </w:r>
          </w:p>
        </w:tc>
      </w:tr>
    </w:tbl>
    <w:p>
      <w:pPr>
        <w:spacing w:before="120" w:after="120"/>
        <w:jc w:val="center"/>
        <w:rPr>
          <w:i w:val="0"/>
          <w:iCs w:val="0"/>
        </w:rPr>
      </w:pPr>
      <w:r>
        <w:rPr>
          <w:rFonts w:hint="eastAsia"/>
          <w:i w:val="0"/>
          <w:iCs w:val="0"/>
        </w:rPr>
        <w:t>Figure 6 Capacity simulation results of different Case for AR video transmission in UL Indoor Hotspot scenario</w:t>
      </w:r>
    </w:p>
    <w:p>
      <w:pPr>
        <w:spacing w:before="120" w:after="120"/>
        <w:rPr>
          <w:highlight w:val="yellow"/>
        </w:rPr>
      </w:pPr>
      <w:r>
        <w:rPr>
          <w:rFonts w:hint="eastAsia"/>
        </w:rPr>
        <w:t>A</w:t>
      </w:r>
      <w:r>
        <w:t xml:space="preserve">s shown in </w:t>
      </w:r>
      <w:r>
        <w:rPr>
          <w:rFonts w:hint="eastAsia"/>
        </w:rPr>
        <w:t xml:space="preserve">Figure 6, </w:t>
      </w:r>
      <w:r>
        <w:t>for m</w:t>
      </w:r>
      <w:r>
        <w:rPr>
          <w:rFonts w:hint="eastAsia"/>
        </w:rPr>
        <w:t>ultiple CG configurations without resources indication</w:t>
      </w:r>
      <w:r>
        <w:t>/release,</w:t>
      </w:r>
      <w:r>
        <w:rPr>
          <w:rFonts w:hint="eastAsia"/>
        </w:rPr>
        <w:t xml:space="preserve"> capacity is limited to [0.0] UE</w:t>
      </w:r>
      <w:r>
        <w:t xml:space="preserve"> @90% satisfied UE percentage.</w:t>
      </w:r>
      <w:r>
        <w:rPr>
          <w:rFonts w:hint="eastAsia"/>
        </w:rPr>
        <w:t xml:space="preserve"> </w:t>
      </w:r>
      <w:r>
        <w:t xml:space="preserve">And </w:t>
      </w:r>
      <w:r>
        <w:rPr>
          <w:rFonts w:hint="eastAsia"/>
        </w:rPr>
        <w:t>with resources indication</w:t>
      </w:r>
      <w:r>
        <w:t>/release,</w:t>
      </w:r>
      <w:r>
        <w:rPr>
          <w:rFonts w:hint="eastAsia"/>
        </w:rPr>
        <w:t xml:space="preserve"> </w:t>
      </w:r>
      <w:r>
        <w:t xml:space="preserve">the </w:t>
      </w:r>
      <w:r>
        <w:rPr>
          <w:rFonts w:hint="eastAsia"/>
        </w:rPr>
        <w:t xml:space="preserve">capacity </w:t>
      </w:r>
      <w:r>
        <w:t>is boosted</w:t>
      </w:r>
      <w:r>
        <w:rPr>
          <w:rFonts w:hint="eastAsia"/>
        </w:rPr>
        <w:t xml:space="preserve"> to [3.1] UEs</w:t>
      </w:r>
      <w:r>
        <w:t>@90% satisfied UE percentage.</w:t>
      </w:r>
    </w:p>
    <w:p>
      <w:pPr>
        <w:pStyle w:val="50"/>
        <w:spacing w:before="120" w:after="120"/>
        <w:jc w:val="both"/>
      </w:pPr>
      <w:bookmarkStart w:id="8" w:name="_Toc27406"/>
      <w:r>
        <w:rPr>
          <w:rFonts w:hint="eastAsia"/>
          <w:lang w:val="en-US" w:eastAsia="zh-CN"/>
        </w:rPr>
        <w:t>Multiple CG configurations with resource release and resource indication can provide capacity performance gain compared to legacy multiple CG configurations.</w:t>
      </w:r>
      <w:bookmarkEnd w:id="8"/>
    </w:p>
    <w:p>
      <w:pPr>
        <w:pStyle w:val="53"/>
        <w:spacing w:before="120" w:after="120"/>
        <w:rPr>
          <w:lang w:val="en-US" w:eastAsia="zh-CN"/>
        </w:rPr>
      </w:pPr>
      <w:r>
        <w:rPr>
          <w:lang w:val="en-US" w:eastAsia="zh-CN"/>
        </w:rPr>
        <w:t xml:space="preserve"> </w:t>
      </w:r>
      <w:bookmarkStart w:id="9" w:name="_Toc32082"/>
      <w:bookmarkEnd w:id="9"/>
      <w:bookmarkStart w:id="10" w:name="_Toc23570"/>
      <w:r>
        <w:t>R</w:t>
      </w:r>
      <w:r>
        <w:rPr>
          <w:rFonts w:hint="eastAsia"/>
        </w:rPr>
        <w:t>esources indication</w:t>
      </w:r>
      <w:r>
        <w:t>/release</w:t>
      </w:r>
      <w:r>
        <w:rPr>
          <w:rFonts w:hint="eastAsia"/>
          <w:lang w:val="en-US" w:eastAsia="zh-CN"/>
        </w:rPr>
        <w:t xml:space="preserve"> </w:t>
      </w:r>
      <w:r>
        <w:rPr>
          <w:lang w:val="en-US" w:eastAsia="zh-CN"/>
        </w:rPr>
        <w:t>can be considered for enhancing c</w:t>
      </w:r>
      <w:r>
        <w:rPr>
          <w:rFonts w:hint="eastAsia"/>
          <w:lang w:val="en-US" w:eastAsia="zh-CN"/>
        </w:rPr>
        <w:t xml:space="preserve">onfigured grant </w:t>
      </w:r>
      <w:r>
        <w:rPr>
          <w:lang w:val="en-US" w:eastAsia="zh-CN"/>
        </w:rPr>
        <w:t>transmission.</w:t>
      </w:r>
      <w:bookmarkEnd w:id="10"/>
      <w:r>
        <w:rPr>
          <w:lang w:val="en-US" w:eastAsia="zh-CN"/>
        </w:rPr>
        <w:t xml:space="preserve"> </w:t>
      </w:r>
    </w:p>
    <w:bookmarkEnd w:id="7"/>
    <w:p>
      <w:pPr>
        <w:pStyle w:val="50"/>
        <w:numPr>
          <w:ilvl w:val="0"/>
          <w:numId w:val="0"/>
        </w:numPr>
        <w:tabs>
          <w:tab w:val="clear" w:pos="0"/>
        </w:tabs>
        <w:spacing w:before="120" w:after="120"/>
        <w:jc w:val="both"/>
        <w:rPr>
          <w:rFonts w:eastAsia="宋体"/>
          <w:b w:val="0"/>
          <w:bCs w:val="0"/>
          <w:i w:val="0"/>
          <w:iCs w:val="0"/>
          <w:sz w:val="21"/>
          <w:szCs w:val="21"/>
          <w:lang w:val="en-US" w:eastAsia="zh-CN"/>
        </w:rPr>
      </w:pPr>
    </w:p>
    <w:p>
      <w:pPr>
        <w:pStyle w:val="2"/>
        <w:spacing w:before="120" w:after="120"/>
        <w:ind w:left="0"/>
      </w:pPr>
      <w:r>
        <w:rPr>
          <w:rFonts w:hint="eastAsia" w:eastAsia="宋体"/>
        </w:rPr>
        <w:t>Discussion on dynamic scheduling/grant enhancement</w:t>
      </w:r>
    </w:p>
    <w:p>
      <w:pPr>
        <w:pStyle w:val="3"/>
        <w:spacing w:before="120" w:after="120"/>
        <w:ind w:left="991" w:right="210" w:hanging="991" w:hangingChars="354"/>
        <w:rPr>
          <w:rFonts w:eastAsia="宋体"/>
          <w:szCs w:val="22"/>
        </w:rPr>
      </w:pPr>
      <w:bookmarkStart w:id="11" w:name="_Toc525"/>
      <w:bookmarkEnd w:id="11"/>
      <w:bookmarkStart w:id="12" w:name="_Toc82"/>
      <w:bookmarkEnd w:id="12"/>
      <w:bookmarkStart w:id="13" w:name="_Toc29089"/>
      <w:bookmarkEnd w:id="13"/>
      <w:bookmarkStart w:id="14" w:name="_Toc29400"/>
      <w:bookmarkEnd w:id="14"/>
      <w:r>
        <w:rPr>
          <w:rFonts w:hint="eastAsia" w:eastAsia="宋体"/>
        </w:rPr>
        <w:t>Precise buffer status reporting for UL transmission</w:t>
      </w:r>
    </w:p>
    <w:p>
      <w:pPr>
        <w:pStyle w:val="4"/>
        <w:spacing w:after="120"/>
        <w:ind w:right="210"/>
        <w:rPr>
          <w:szCs w:val="24"/>
        </w:rPr>
      </w:pPr>
      <w:r>
        <w:rPr>
          <w:rFonts w:hint="eastAsia" w:eastAsia="宋体"/>
        </w:rPr>
        <w:t>BSR for XR traffic</w:t>
      </w:r>
    </w:p>
    <w:p>
      <w:pPr>
        <w:spacing w:before="120" w:after="120"/>
      </w:pPr>
      <w:r>
        <w:rPr>
          <w:rFonts w:hint="eastAsia"/>
          <w:szCs w:val="24"/>
        </w:rPr>
        <w:t>For UL AR video transmission, data packets are characterized by large amount and variability</w:t>
      </w:r>
      <w:r>
        <w:rPr>
          <w:szCs w:val="24"/>
        </w:rPr>
        <w:t>.</w:t>
      </w:r>
      <w:r>
        <w:rPr>
          <w:rFonts w:hint="eastAsia"/>
          <w:szCs w:val="24"/>
        </w:rPr>
        <w:t xml:space="preserve"> </w:t>
      </w:r>
      <w:r>
        <w:rPr>
          <w:szCs w:val="24"/>
        </w:rPr>
        <w:t xml:space="preserve">And as </w:t>
      </w:r>
      <w:r>
        <w:rPr>
          <w:rFonts w:hint="eastAsia"/>
        </w:rPr>
        <w:t>Figure 7 illustrate</w:t>
      </w:r>
      <w:r>
        <w:t>d,</w:t>
      </w:r>
      <w:r>
        <w:rPr>
          <w:rFonts w:hint="eastAsia"/>
        </w:rPr>
        <w:t xml:space="preserve"> the reported buffer size </w:t>
      </w:r>
      <w:r>
        <w:t xml:space="preserve">is actually larger than the actual buffer size. </w:t>
      </w:r>
      <w:r>
        <w:rPr>
          <w:szCs w:val="24"/>
        </w:rPr>
        <w:t xml:space="preserve">Thus, </w:t>
      </w:r>
      <w:r>
        <w:rPr>
          <w:rFonts w:hint="eastAsia"/>
          <w:szCs w:val="24"/>
        </w:rPr>
        <w:t>legacy buffer status reporting (BSR)</w:t>
      </w:r>
      <w:r>
        <w:rPr>
          <w:rFonts w:hint="eastAsia"/>
        </w:rPr>
        <w:t xml:space="preserve"> </w:t>
      </w:r>
      <w:r>
        <w:t>will</w:t>
      </w:r>
      <w:r>
        <w:rPr>
          <w:rFonts w:hint="eastAsia"/>
        </w:rPr>
        <w:t xml:space="preserve"> waste </w:t>
      </w:r>
      <w:r>
        <w:rPr>
          <w:szCs w:val="24"/>
        </w:rPr>
        <w:t>radio resource and decrease the UL system capacity</w:t>
      </w:r>
      <w:r>
        <w:rPr>
          <w:rFonts w:hint="eastAsia"/>
        </w:rPr>
        <w:t>.</w:t>
      </w:r>
      <w:r>
        <w:rPr>
          <w:rFonts w:hint="eastAsia"/>
          <w:szCs w:val="24"/>
        </w:rPr>
        <w:t xml:space="preserve"> To this end, precise buffer size determination through enhanced buffer status reporting (BSR)</w:t>
      </w:r>
      <w:r>
        <w:rPr>
          <w:szCs w:val="24"/>
        </w:rPr>
        <w:t xml:space="preserve"> is considered </w:t>
      </w:r>
      <w:r>
        <w:rPr>
          <w:rFonts w:hint="eastAsia"/>
          <w:szCs w:val="24"/>
        </w:rPr>
        <w:t xml:space="preserve">to enhance system capacity. </w:t>
      </w:r>
      <w:r>
        <w:rPr>
          <w:szCs w:val="24"/>
        </w:rPr>
        <w:t>More details have been elaborated in [2].</w:t>
      </w:r>
    </w:p>
    <w:p>
      <w:pPr>
        <w:spacing w:before="120" w:after="120"/>
        <w:jc w:val="center"/>
      </w:pPr>
      <w:r>
        <w:drawing>
          <wp:inline distT="0" distB="0" distL="114300" distR="114300">
            <wp:extent cx="2938780" cy="1536700"/>
            <wp:effectExtent l="0" t="0" r="0" b="0"/>
            <wp:docPr id="55" name="图片 55" descr="PreciseBSR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PreciseBSR示意图"/>
                    <pic:cNvPicPr>
                      <a:picLocks noChangeAspect="1"/>
                    </pic:cNvPicPr>
                  </pic:nvPicPr>
                  <pic:blipFill>
                    <a:blip r:embed="rId17"/>
                    <a:stretch>
                      <a:fillRect/>
                    </a:stretch>
                  </pic:blipFill>
                  <pic:spPr>
                    <a:xfrm>
                      <a:off x="0" y="0"/>
                      <a:ext cx="2958200" cy="1547324"/>
                    </a:xfrm>
                    <a:prstGeom prst="rect">
                      <a:avLst/>
                    </a:prstGeom>
                  </pic:spPr>
                </pic:pic>
              </a:graphicData>
            </a:graphic>
          </wp:inline>
        </w:drawing>
      </w:r>
    </w:p>
    <w:p>
      <w:pPr>
        <w:spacing w:before="120" w:after="120"/>
        <w:jc w:val="center"/>
        <w:rPr>
          <w:i w:val="0"/>
          <w:iCs/>
        </w:rPr>
      </w:pPr>
      <w:r>
        <w:rPr>
          <w:i w:val="0"/>
          <w:iCs/>
        </w:rPr>
        <w:t>Figure 7 Differentiation illustration on precise BSR and legacy BSR</w:t>
      </w:r>
    </w:p>
    <w:p>
      <w:pPr>
        <w:pStyle w:val="4"/>
        <w:spacing w:after="120"/>
        <w:ind w:right="210"/>
      </w:pPr>
      <w:r>
        <w:rPr>
          <w:rFonts w:hint="eastAsia" w:eastAsia="宋体"/>
        </w:rPr>
        <w:t>Simulation results</w:t>
      </w:r>
    </w:p>
    <w:p>
      <w:pPr>
        <w:spacing w:before="120" w:after="120"/>
      </w:pPr>
      <w:r>
        <w:rPr>
          <w:rFonts w:hint="eastAsia"/>
        </w:rPr>
        <w:t xml:space="preserve">To further illustrate the size gap and </w:t>
      </w:r>
      <w:r>
        <w:t>impact</w:t>
      </w:r>
      <w:r>
        <w:rPr>
          <w:rFonts w:hint="eastAsia"/>
        </w:rPr>
        <w:t xml:space="preserve"> on capacity, we study the relationship between the distribution of UL AR traffic model and the value of buffer size level table in Figure 8.</w:t>
      </w:r>
    </w:p>
    <w:p>
      <w:pPr>
        <w:spacing w:before="120" w:after="120"/>
      </w:pPr>
      <w:r>
        <w:rPr>
          <w:rFonts w:hint="eastAsia"/>
        </w:rPr>
        <w:t>The XR capacity results for Dense Urban scenarios are provided in Figure 9. The traffic models are AR aggregating scene/video/data/audio traffic model: 10Mbps@60fps with 30ms PDB and 20Mbps@60fps with 30ms. The parameters for simulation are listed in Table A.2.</w:t>
      </w:r>
    </w:p>
    <w:p>
      <w:pPr>
        <w:spacing w:before="120" w:after="120"/>
      </w:pPr>
      <w:r>
        <w:rPr>
          <w:rFonts w:hint="eastAsia"/>
        </w:rPr>
        <w:t>The distribution figures are shown as follows.</w:t>
      </w: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2"/>
        <w:gridCol w:w="4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4643" w:type="dxa"/>
          </w:tcPr>
          <w:p>
            <w:pPr>
              <w:spacing w:before="120" w:after="120" w:line="276" w:lineRule="auto"/>
              <w:rPr>
                <w:rFonts w:eastAsiaTheme="minorEastAsia"/>
                <w:i/>
                <w:iCs/>
              </w:rPr>
            </w:pPr>
            <w:r>
              <w:drawing>
                <wp:inline distT="0" distB="0" distL="114300" distR="114300">
                  <wp:extent cx="2880360" cy="2160270"/>
                  <wp:effectExtent l="0" t="0" r="0"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2880360" cy="2160270"/>
                          </a:xfrm>
                          <a:prstGeom prst="rect">
                            <a:avLst/>
                          </a:prstGeom>
                          <a:noFill/>
                          <a:ln>
                            <a:noFill/>
                          </a:ln>
                        </pic:spPr>
                      </pic:pic>
                    </a:graphicData>
                  </a:graphic>
                </wp:inline>
              </w:drawing>
            </w:r>
          </w:p>
        </w:tc>
        <w:tc>
          <w:tcPr>
            <w:tcW w:w="4643" w:type="dxa"/>
          </w:tcPr>
          <w:p>
            <w:pPr>
              <w:spacing w:before="120" w:after="120" w:line="276" w:lineRule="auto"/>
              <w:rPr>
                <w:rFonts w:eastAsiaTheme="minorEastAsia"/>
                <w:i/>
                <w:iCs/>
              </w:rPr>
            </w:pPr>
            <w:r>
              <w:drawing>
                <wp:inline distT="0" distB="0" distL="114300" distR="114300">
                  <wp:extent cx="2880360" cy="2160270"/>
                  <wp:effectExtent l="0" t="0" r="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288036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pStyle w:val="29"/>
              <w:spacing w:after="120" w:line="276" w:lineRule="auto"/>
              <w:ind w:left="269"/>
              <w:jc w:val="center"/>
              <w:rPr>
                <w:rFonts w:eastAsia="宋体"/>
                <w:kern w:val="0"/>
                <w:sz w:val="21"/>
                <w:szCs w:val="21"/>
              </w:rPr>
            </w:pPr>
            <w:r>
              <w:rPr>
                <w:rFonts w:hint="eastAsia" w:eastAsia="宋体"/>
                <w:kern w:val="0"/>
                <w:sz w:val="21"/>
                <w:szCs w:val="21"/>
              </w:rPr>
              <w:t>(a)10Mbps@60fps traffic model distribution</w:t>
            </w:r>
          </w:p>
        </w:tc>
        <w:tc>
          <w:tcPr>
            <w:tcW w:w="4643" w:type="dxa"/>
          </w:tcPr>
          <w:p>
            <w:pPr>
              <w:pStyle w:val="29"/>
              <w:spacing w:after="120" w:line="276" w:lineRule="auto"/>
              <w:ind w:left="0"/>
              <w:jc w:val="center"/>
              <w:rPr>
                <w:rFonts w:eastAsia="宋体"/>
                <w:kern w:val="0"/>
                <w:sz w:val="21"/>
                <w:szCs w:val="21"/>
              </w:rPr>
            </w:pPr>
            <w:r>
              <w:rPr>
                <w:rFonts w:hint="eastAsia" w:eastAsia="宋体"/>
                <w:kern w:val="0"/>
                <w:sz w:val="21"/>
                <w:szCs w:val="21"/>
              </w:rPr>
              <w:t>(b)20Mbps@60fps traffic model distribution</w:t>
            </w:r>
          </w:p>
        </w:tc>
      </w:tr>
    </w:tbl>
    <w:p>
      <w:pPr>
        <w:spacing w:before="120" w:after="120"/>
        <w:jc w:val="center"/>
        <w:rPr>
          <w:i w:val="0"/>
          <w:iCs w:val="0"/>
        </w:rPr>
      </w:pPr>
      <w:r>
        <w:rPr>
          <w:rFonts w:hint="eastAsia"/>
          <w:i w:val="0"/>
          <w:iCs w:val="0"/>
        </w:rPr>
        <w:t>Figure 8 Distribution of UL AR video traffic model and BS level table.</w:t>
      </w:r>
    </w:p>
    <w:p>
      <w:pPr>
        <w:spacing w:before="120" w:after="120"/>
      </w:pPr>
      <w:r>
        <w:rPr>
          <w:rFonts w:hint="eastAsia"/>
        </w:rPr>
        <w:t xml:space="preserve">In Figure 8, the blue line is the PDF of UL AR traffic model, while the black dots represents the value in buffer size level table in [3]. </w:t>
      </w:r>
    </w:p>
    <w:p>
      <w:pPr>
        <w:spacing w:before="120" w:after="120"/>
      </w:pPr>
      <w:r>
        <w:rPr>
          <w:rFonts w:hint="eastAsia"/>
        </w:rPr>
        <w:t xml:space="preserve">According to </w:t>
      </w:r>
      <w:r>
        <w:rPr>
          <w:highlight w:val="none"/>
        </w:rPr>
        <w:t xml:space="preserve">Figure </w:t>
      </w:r>
      <w:r>
        <w:rPr>
          <w:rFonts w:hint="eastAsia"/>
          <w:highlight w:val="none"/>
        </w:rPr>
        <w:t>8</w:t>
      </w:r>
      <w:r>
        <w:rPr>
          <w:rFonts w:hint="eastAsia"/>
        </w:rPr>
        <w:t>, for both 10Mbps@60fps traffic model and 20Mbps@60fps traffic model, more than a half proportion of packet sizes are overestimated, where 56% of packets (i.e. packet size larger than 20516 Byte) are overestimated to 28581 Byte based on</w:t>
      </w:r>
      <w:r>
        <w:rPr>
          <w:rFonts w:hint="eastAsia"/>
          <w:lang w:val="en-US" w:eastAsia="zh-CN"/>
        </w:rPr>
        <w:t xml:space="preserve"> </w:t>
      </w:r>
      <w:r>
        <w:rPr>
          <w:rFonts w:hint="eastAsia"/>
        </w:rPr>
        <w:t>10Mbps@60fps traffic model, while 66% of packets (i.e. packet size larger than 39818 Byte) are overestimated to 55474 Byte</w:t>
      </w:r>
      <w:r>
        <w:rPr>
          <w:rFonts w:hint="eastAsia"/>
          <w:lang w:val="en-US" w:eastAsia="zh-CN"/>
        </w:rPr>
        <w:t xml:space="preserve"> based on 20Mbps@60fps traffic model</w:t>
      </w:r>
      <w:r>
        <w:rPr>
          <w:rFonts w:hint="eastAsia"/>
        </w:rPr>
        <w:t xml:space="preserve">. </w:t>
      </w:r>
    </w:p>
    <w:p>
      <w:pPr>
        <w:pStyle w:val="50"/>
        <w:spacing w:before="120" w:after="120"/>
        <w:jc w:val="both"/>
        <w:rPr>
          <w:i w:val="0"/>
          <w:iCs w:val="0"/>
          <w:lang w:val="en-US" w:eastAsia="zh-CN"/>
        </w:rPr>
      </w:pPr>
      <w:bookmarkStart w:id="15" w:name="_Toc1608"/>
      <w:r>
        <w:rPr>
          <w:rFonts w:hint="eastAsia" w:eastAsia="宋体"/>
          <w:lang w:val="en-US" w:eastAsia="zh-CN"/>
        </w:rPr>
        <w:t>For both 10Mbps@60fps traffic model and 20Mbps@60fps traffic, more than a half proportion of packet sizes are overestimated using BS level table in [3].</w:t>
      </w:r>
      <w:bookmarkEnd w:id="15"/>
      <w:r>
        <w:rPr>
          <w:rFonts w:hint="eastAsia" w:eastAsia="宋体"/>
          <w:lang w:val="en-US" w:eastAsia="zh-CN"/>
        </w:rPr>
        <w:t xml:space="preserve"> </w:t>
      </w:r>
    </w:p>
    <w:p>
      <w:pPr>
        <w:spacing w:before="120" w:after="120"/>
      </w:pPr>
      <w:r>
        <w:rPr>
          <w:rFonts w:hint="eastAsia"/>
        </w:rPr>
        <w:t>The capacity performance between precise BSR and legacy BSR is depicted as follows:</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6803" w:type="dxa"/>
          </w:tcPr>
          <w:p>
            <w:pPr>
              <w:spacing w:before="120" w:after="120" w:line="276" w:lineRule="auto"/>
              <w:jc w:val="center"/>
              <w:rPr>
                <w:rFonts w:eastAsiaTheme="minorEastAsia"/>
                <w:i/>
                <w:iCs/>
              </w:rPr>
            </w:pPr>
            <w:r>
              <w:drawing>
                <wp:inline distT="0" distB="0" distL="114300" distR="114300">
                  <wp:extent cx="3600450" cy="2700020"/>
                  <wp:effectExtent l="0" t="0" r="0" b="5080"/>
                  <wp:docPr id="4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9"/>
                          <pic:cNvPicPr>
                            <a:picLocks noChangeAspect="1"/>
                          </pic:cNvPicPr>
                        </pic:nvPicPr>
                        <pic:blipFill>
                          <a:blip r:embed="rId20" cstate="print"/>
                          <a:stretch>
                            <a:fillRect/>
                          </a:stretch>
                        </pic:blipFill>
                        <pic:spPr>
                          <a:xfrm>
                            <a:off x="0" y="0"/>
                            <a:ext cx="3600450" cy="2700020"/>
                          </a:xfrm>
                          <a:prstGeom prst="rect">
                            <a:avLst/>
                          </a:prstGeom>
                          <a:noFill/>
                          <a:ln>
                            <a:noFill/>
                          </a:ln>
                        </pic:spPr>
                      </pic:pic>
                    </a:graphicData>
                  </a:graphic>
                </wp:inline>
              </w:drawing>
            </w:r>
          </w:p>
        </w:tc>
      </w:tr>
    </w:tbl>
    <w:p>
      <w:pPr>
        <w:spacing w:before="120" w:after="120"/>
        <w:jc w:val="center"/>
        <w:rPr>
          <w:iCs/>
        </w:rPr>
      </w:pPr>
      <w:r>
        <w:rPr>
          <w:iCs/>
        </w:rPr>
        <w:t>Figure 9 Capacity comparison between precise BSR and current legacy BSR.</w:t>
      </w:r>
    </w:p>
    <w:p>
      <w:pPr>
        <w:spacing w:before="120" w:after="120"/>
      </w:pPr>
      <w:r>
        <w:rPr>
          <w:rFonts w:hint="eastAsia"/>
        </w:rPr>
        <w:t>In Figure 9, for 10Mbps@60fps, capacity performances are increased from [9.5] with legacy BSR indication to [10.9] @90% satisfied UE percentage with precise BSR indication by about [14.47%], while for 20Mbps@60fps, capacity performances are increased from [3.4] with legacy BSR indication to [5.1] @90% satisfied UE percentage with precise BSR indication by about [50.00%] using MU-MIMO in UL FR1 dense urban scenario.</w:t>
      </w:r>
    </w:p>
    <w:p>
      <w:pPr>
        <w:spacing w:before="120" w:after="120"/>
      </w:pPr>
      <w:r>
        <w:rPr>
          <w:rFonts w:hint="eastAsia"/>
        </w:rPr>
        <w:t xml:space="preserve">Based on Figure 8 and Figure 9, it can be observed that the size gap results in resource waste and capacity performance </w:t>
      </w:r>
      <w:r>
        <w:t>degradation</w:t>
      </w:r>
      <w:r>
        <w:rPr>
          <w:rFonts w:hint="eastAsia"/>
        </w:rPr>
        <w:t xml:space="preserve">. To this end, the BSR should be enhanced. </w:t>
      </w:r>
    </w:p>
    <w:p>
      <w:pPr>
        <w:pStyle w:val="50"/>
        <w:spacing w:before="120" w:after="120"/>
        <w:jc w:val="both"/>
        <w:rPr>
          <w:rFonts w:eastAsia="宋体"/>
          <w:b w:val="0"/>
          <w:bCs w:val="0"/>
          <w:i w:val="0"/>
          <w:iCs w:val="0"/>
          <w:sz w:val="21"/>
          <w:szCs w:val="21"/>
          <w:lang w:val="en-US" w:eastAsia="zh-CN"/>
        </w:rPr>
      </w:pPr>
      <w:bookmarkStart w:id="16" w:name="_Toc87003957"/>
      <w:bookmarkStart w:id="17" w:name="_Toc20102"/>
      <w:r>
        <w:rPr>
          <w:rFonts w:hint="eastAsia" w:eastAsia="宋体"/>
          <w:lang w:val="en-US" w:eastAsia="zh-CN"/>
        </w:rPr>
        <w:t>In uplink transmission, overestimated packet sizes may cause capacity performance loss.</w:t>
      </w:r>
      <w:bookmarkEnd w:id="16"/>
      <w:r>
        <w:rPr>
          <w:rFonts w:hint="eastAsia" w:eastAsia="宋体"/>
          <w:lang w:val="en-US" w:eastAsia="zh-CN"/>
        </w:rPr>
        <w:t xml:space="preserve"> </w:t>
      </w:r>
      <w:r>
        <w:rPr>
          <w:rFonts w:eastAsia="宋体"/>
          <w:lang w:val="en-US" w:eastAsia="zh-CN"/>
        </w:rPr>
        <w:t>And</w:t>
      </w:r>
      <w:bookmarkStart w:id="18" w:name="_Toc87003958"/>
      <w:r>
        <w:rPr>
          <w:rFonts w:hint="eastAsia" w:eastAsia="宋体"/>
          <w:lang w:val="en-US" w:eastAsia="zh-CN"/>
        </w:rPr>
        <w:t xml:space="preserve"> uplink transmission with precise BSR indication can bring capacity performance gain.</w:t>
      </w:r>
      <w:bookmarkEnd w:id="17"/>
      <w:bookmarkEnd w:id="18"/>
    </w:p>
    <w:p>
      <w:pPr>
        <w:pStyle w:val="53"/>
        <w:spacing w:before="120" w:after="120"/>
        <w:rPr>
          <w:lang w:val="en-US" w:eastAsia="zh-CN"/>
        </w:rPr>
      </w:pPr>
      <w:r>
        <w:rPr>
          <w:lang w:val="en-US" w:eastAsia="zh-CN"/>
        </w:rPr>
        <w:t xml:space="preserve"> </w:t>
      </w:r>
      <w:bookmarkStart w:id="19" w:name="_Toc30155"/>
      <w:r>
        <w:rPr>
          <w:rFonts w:hint="eastAsia"/>
          <w:lang w:val="en-US" w:eastAsia="zh-CN"/>
        </w:rPr>
        <w:t xml:space="preserve">Buffer size reporting enhancement techniques, including e.g., enhanced BSR indication, can be </w:t>
      </w:r>
      <w:r>
        <w:rPr>
          <w:lang w:val="en-US" w:eastAsia="zh-CN"/>
        </w:rPr>
        <w:t>considered</w:t>
      </w:r>
      <w:r>
        <w:rPr>
          <w:rFonts w:hint="eastAsia"/>
          <w:lang w:val="en-US" w:eastAsia="zh-CN"/>
        </w:rPr>
        <w:t xml:space="preserve"> for </w:t>
      </w:r>
      <w:r>
        <w:rPr>
          <w:lang w:val="en-US" w:eastAsia="zh-CN"/>
        </w:rPr>
        <w:t xml:space="preserve">improving capacity for </w:t>
      </w:r>
      <w:r>
        <w:rPr>
          <w:rFonts w:hint="eastAsia"/>
          <w:lang w:val="en-US" w:eastAsia="zh-CN"/>
        </w:rPr>
        <w:t>XR service.</w:t>
      </w:r>
      <w:bookmarkEnd w:id="19"/>
      <w:r>
        <w:rPr>
          <w:rFonts w:hint="eastAsia"/>
          <w:lang w:val="en-US" w:eastAsia="zh-CN"/>
        </w:rPr>
        <w:t xml:space="preserve">  </w:t>
      </w:r>
    </w:p>
    <w:p>
      <w:pPr>
        <w:pStyle w:val="50"/>
        <w:numPr>
          <w:ilvl w:val="0"/>
          <w:numId w:val="0"/>
        </w:numPr>
        <w:tabs>
          <w:tab w:val="clear" w:pos="0"/>
        </w:tabs>
        <w:spacing w:before="120" w:after="120"/>
        <w:jc w:val="both"/>
        <w:rPr>
          <w:rFonts w:eastAsia="宋体"/>
          <w:b w:val="0"/>
          <w:bCs w:val="0"/>
          <w:i w:val="0"/>
          <w:iCs w:val="0"/>
          <w:sz w:val="21"/>
          <w:szCs w:val="21"/>
          <w:lang w:val="en-US" w:eastAsia="zh-CN"/>
        </w:rPr>
      </w:pPr>
    </w:p>
    <w:p>
      <w:pPr>
        <w:pStyle w:val="3"/>
        <w:spacing w:before="120" w:after="120"/>
        <w:ind w:left="991" w:right="210" w:hanging="991" w:hangingChars="354"/>
        <w:rPr>
          <w:szCs w:val="22"/>
        </w:rPr>
      </w:pPr>
      <w:r>
        <w:rPr>
          <w:rFonts w:hint="eastAsia" w:eastAsia="宋体"/>
          <w:szCs w:val="22"/>
        </w:rPr>
        <w:t xml:space="preserve">Link adaptation </w:t>
      </w:r>
      <w:r>
        <w:rPr>
          <w:rFonts w:hint="eastAsia" w:eastAsia="宋体"/>
          <w:szCs w:val="22"/>
          <w:lang w:val="en-US" w:eastAsia="zh-CN"/>
        </w:rPr>
        <w:t xml:space="preserve">enhancement </w:t>
      </w:r>
      <w:r>
        <w:rPr>
          <w:rFonts w:hint="eastAsia" w:eastAsia="宋体"/>
          <w:szCs w:val="22"/>
        </w:rPr>
        <w:t>for re-transmission</w:t>
      </w:r>
    </w:p>
    <w:p>
      <w:pPr>
        <w:spacing w:before="120" w:after="120"/>
        <w:rPr>
          <w:szCs w:val="22"/>
        </w:rPr>
      </w:pPr>
      <w:r>
        <w:rPr>
          <w:rFonts w:hint="eastAsia"/>
          <w:szCs w:val="22"/>
        </w:rPr>
        <w:t xml:space="preserve">XR service is characterized by large packet size and stringent latency, which result in high resource occupation and limited re-transmission times when re-transmission occurs. If the scheduled MCS level is </w:t>
      </w:r>
      <w:r>
        <w:rPr>
          <w:szCs w:val="22"/>
        </w:rPr>
        <w:t>too</w:t>
      </w:r>
      <w:r>
        <w:rPr>
          <w:rFonts w:hint="eastAsia"/>
          <w:szCs w:val="22"/>
        </w:rPr>
        <w:t xml:space="preserve"> aggressive in a poor channel condition, XR packets call for frequent re-transmissions and are prone to </w:t>
      </w:r>
      <w:r>
        <w:rPr>
          <w:szCs w:val="22"/>
        </w:rPr>
        <w:t>be</w:t>
      </w:r>
      <w:r>
        <w:rPr>
          <w:rFonts w:hint="eastAsia"/>
          <w:szCs w:val="22"/>
        </w:rPr>
        <w:t xml:space="preserve"> dropp</w:t>
      </w:r>
      <w:r>
        <w:rPr>
          <w:szCs w:val="22"/>
        </w:rPr>
        <w:t>ed</w:t>
      </w:r>
      <w:r>
        <w:rPr>
          <w:rFonts w:hint="eastAsia"/>
          <w:szCs w:val="22"/>
        </w:rPr>
        <w:t xml:space="preserve">. </w:t>
      </w:r>
    </w:p>
    <w:p>
      <w:pPr>
        <w:spacing w:before="120" w:after="120"/>
        <w:rPr>
          <w:szCs w:val="22"/>
        </w:rPr>
      </w:pPr>
      <w:r>
        <w:rPr>
          <w:rFonts w:hint="eastAsia"/>
          <w:szCs w:val="22"/>
        </w:rPr>
        <w:t>To this end, The UE feedback information for re-transmission is considered</w:t>
      </w:r>
      <w:r>
        <w:rPr>
          <w:szCs w:val="22"/>
        </w:rPr>
        <w:t>, for example, with</w:t>
      </w:r>
      <w:r>
        <w:rPr>
          <w:rFonts w:hint="eastAsia"/>
          <w:szCs w:val="22"/>
        </w:rPr>
        <w:t xml:space="preserve"> delta MCS feedback information </w:t>
      </w:r>
      <w:r>
        <w:rPr>
          <w:szCs w:val="22"/>
        </w:rPr>
        <w:t>adaptive HARQ transmission can be achieved.</w:t>
      </w:r>
    </w:p>
    <w:p>
      <w:pPr>
        <w:spacing w:before="120" w:after="120"/>
      </w:pPr>
      <w:r>
        <w:t xml:space="preserve">Then, </w:t>
      </w:r>
      <w:r>
        <w:rPr>
          <w:rFonts w:hint="eastAsia"/>
        </w:rPr>
        <w:t>Figure 10 depict</w:t>
      </w:r>
      <w:r>
        <w:t>s</w:t>
      </w:r>
      <w:r>
        <w:rPr>
          <w:rFonts w:hint="eastAsia"/>
        </w:rPr>
        <w:t xml:space="preserve"> the capacity performance (ratio of satisfied UEs) among the following cases:</w:t>
      </w:r>
    </w:p>
    <w:p>
      <w:pPr>
        <w:numPr>
          <w:ilvl w:val="0"/>
          <w:numId w:val="7"/>
        </w:numPr>
        <w:spacing w:before="120" w:after="120"/>
      </w:pPr>
      <w:r>
        <w:rPr>
          <w:rFonts w:hint="eastAsia"/>
        </w:rPr>
        <w:t>Case 1: Delta MCS information is used in re-transmission.</w:t>
      </w:r>
    </w:p>
    <w:p>
      <w:pPr>
        <w:numPr>
          <w:ilvl w:val="0"/>
          <w:numId w:val="7"/>
        </w:numPr>
        <w:spacing w:before="120" w:after="120"/>
      </w:pPr>
      <w:r>
        <w:rPr>
          <w:rFonts w:hint="eastAsia"/>
        </w:rPr>
        <w:t>Case 2: No delta MCS information feedback, and no delta MCS information is used in re-transmission</w:t>
      </w: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2"/>
        <w:gridCol w:w="47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643" w:type="dxa"/>
          </w:tcPr>
          <w:p>
            <w:pPr>
              <w:spacing w:before="120" w:after="120" w:line="276" w:lineRule="auto"/>
              <w:rPr>
                <w:rFonts w:eastAsiaTheme="minorEastAsia"/>
                <w:i/>
                <w:iCs/>
              </w:rPr>
            </w:pPr>
            <w:r>
              <w:drawing>
                <wp:inline distT="0" distB="0" distL="114300" distR="114300">
                  <wp:extent cx="2880360" cy="2160270"/>
                  <wp:effectExtent l="0" t="0" r="0"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1"/>
                          <a:stretch>
                            <a:fillRect/>
                          </a:stretch>
                        </pic:blipFill>
                        <pic:spPr>
                          <a:xfrm>
                            <a:off x="0" y="0"/>
                            <a:ext cx="2880360" cy="2160270"/>
                          </a:xfrm>
                          <a:prstGeom prst="rect">
                            <a:avLst/>
                          </a:prstGeom>
                          <a:noFill/>
                          <a:ln>
                            <a:noFill/>
                          </a:ln>
                        </pic:spPr>
                      </pic:pic>
                    </a:graphicData>
                  </a:graphic>
                </wp:inline>
              </w:drawing>
            </w:r>
          </w:p>
        </w:tc>
        <w:tc>
          <w:tcPr>
            <w:tcW w:w="4643" w:type="dxa"/>
          </w:tcPr>
          <w:p>
            <w:pPr>
              <w:spacing w:before="120" w:after="120" w:line="276" w:lineRule="auto"/>
              <w:rPr>
                <w:rFonts w:eastAsiaTheme="minorEastAsia"/>
                <w:i/>
                <w:iCs/>
              </w:rPr>
            </w:pPr>
            <w:r>
              <w:drawing>
                <wp:inline distT="0" distB="0" distL="114300" distR="114300">
                  <wp:extent cx="2882265" cy="2160270"/>
                  <wp:effectExtent l="0" t="0" r="0" b="1143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22"/>
                          <a:stretch>
                            <a:fillRect/>
                          </a:stretch>
                        </pic:blipFill>
                        <pic:spPr>
                          <a:xfrm>
                            <a:off x="0" y="0"/>
                            <a:ext cx="2882265"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pStyle w:val="29"/>
              <w:spacing w:after="120" w:line="276" w:lineRule="auto"/>
              <w:ind w:left="269"/>
              <w:jc w:val="center"/>
              <w:rPr>
                <w:rFonts w:eastAsia="宋体"/>
                <w:kern w:val="0"/>
                <w:sz w:val="21"/>
                <w:szCs w:val="21"/>
              </w:rPr>
            </w:pPr>
            <w:r>
              <w:rPr>
                <w:rFonts w:hint="eastAsia" w:eastAsia="宋体"/>
                <w:kern w:val="0"/>
                <w:sz w:val="21"/>
                <w:szCs w:val="21"/>
              </w:rPr>
              <w:t>(a)Capacity</w:t>
            </w:r>
          </w:p>
        </w:tc>
        <w:tc>
          <w:tcPr>
            <w:tcW w:w="4643" w:type="dxa"/>
          </w:tcPr>
          <w:p>
            <w:pPr>
              <w:pStyle w:val="29"/>
              <w:spacing w:after="120" w:line="276" w:lineRule="auto"/>
              <w:ind w:left="0"/>
              <w:jc w:val="center"/>
              <w:rPr>
                <w:rFonts w:eastAsia="宋体"/>
                <w:kern w:val="0"/>
                <w:sz w:val="21"/>
                <w:szCs w:val="21"/>
              </w:rPr>
            </w:pPr>
            <w:r>
              <w:rPr>
                <w:rFonts w:hint="eastAsia" w:eastAsia="宋体"/>
                <w:kern w:val="0"/>
                <w:sz w:val="21"/>
                <w:szCs w:val="21"/>
              </w:rPr>
              <w:t>(b)Delta MCS value statistic</w:t>
            </w:r>
          </w:p>
        </w:tc>
      </w:tr>
    </w:tbl>
    <w:p>
      <w:pPr>
        <w:spacing w:before="120" w:after="120"/>
        <w:jc w:val="center"/>
        <w:rPr>
          <w:i/>
          <w:iCs/>
        </w:rPr>
      </w:pPr>
      <w:r>
        <w:rPr>
          <w:iCs/>
          <w:szCs w:val="22"/>
        </w:rPr>
        <w:t>Figure 10 Capacity simulation results of different cases and corresponding delta MCS value statistics in DL indoor HotSpot scenario</w:t>
      </w:r>
    </w:p>
    <w:p>
      <w:pPr>
        <w:spacing w:before="120" w:after="120"/>
      </w:pPr>
      <w:r>
        <w:rPr>
          <w:rFonts w:hint="eastAsia"/>
        </w:rPr>
        <w:t xml:space="preserve">It can be observed in Figure 10(a) that for no delta MCS information used in re-transmission, the capacity is limited to [0] @90% satisfied UE percentage. While for the case 2 that delta MCS information is used in re-transmission, the capacity is increased to [3.3] UEs @90% satisfied UE percentage.  </w:t>
      </w:r>
    </w:p>
    <w:p>
      <w:pPr>
        <w:pStyle w:val="50"/>
        <w:spacing w:before="120" w:after="120"/>
        <w:jc w:val="both"/>
        <w:rPr>
          <w:rFonts w:eastAsia="宋体"/>
          <w:lang w:val="en-US" w:eastAsia="zh-CN"/>
        </w:rPr>
      </w:pPr>
      <w:bookmarkStart w:id="20" w:name="_Toc28540"/>
      <w:r>
        <w:rPr>
          <w:rFonts w:hint="eastAsia" w:eastAsia="宋体"/>
          <w:lang w:val="en-US" w:eastAsia="zh-CN"/>
        </w:rPr>
        <w:t>Delta MCS information for re-transmission is capable of increasing significantly XR capacity performance.</w:t>
      </w:r>
      <w:bookmarkEnd w:id="20"/>
    </w:p>
    <w:p>
      <w:pPr>
        <w:spacing w:before="120" w:after="120"/>
      </w:pPr>
      <w:r>
        <w:rPr>
          <w:highlight w:val="none"/>
        </w:rPr>
        <w:t>F</w:t>
      </w:r>
      <w:r>
        <w:rPr>
          <w:rFonts w:hint="eastAsia"/>
        </w:rPr>
        <w:t xml:space="preserve">igure </w:t>
      </w:r>
      <w:r>
        <w:t>1</w:t>
      </w:r>
      <w:r>
        <w:rPr>
          <w:rFonts w:hint="eastAsia"/>
        </w:rPr>
        <w:t>0(b)</w:t>
      </w:r>
      <w:r>
        <w:t xml:space="preserve"> </w:t>
      </w:r>
      <w:r>
        <w:rPr>
          <w:rFonts w:hint="eastAsia"/>
        </w:rPr>
        <w:t>is the statistics of the delta MCS information level.</w:t>
      </w:r>
      <w:r>
        <w:t xml:space="preserve"> </w:t>
      </w:r>
      <w:r>
        <w:rPr>
          <w:rFonts w:hint="eastAsia"/>
        </w:rPr>
        <w:t>It can be observed in</w:t>
      </w:r>
      <w:r>
        <w:rPr>
          <w:rFonts w:hint="eastAsia"/>
          <w:b/>
          <w:bCs/>
        </w:rPr>
        <w:t xml:space="preserve"> </w:t>
      </w:r>
      <w:r>
        <w:rPr>
          <w:rFonts w:hint="eastAsia"/>
        </w:rPr>
        <w:t>Figure 1</w:t>
      </w:r>
      <w:r>
        <w:rPr>
          <w:rFonts w:hint="eastAsia"/>
          <w:lang w:val="en-US" w:eastAsia="zh-CN"/>
        </w:rPr>
        <w:t>0(b)</w:t>
      </w:r>
      <w:r>
        <w:rPr>
          <w:rFonts w:hint="eastAsia"/>
        </w:rPr>
        <w:t xml:space="preserve"> that lager than 80% delta MCS value is larger than </w:t>
      </w:r>
      <w:r>
        <w:rPr>
          <w:rFonts w:hint="eastAsia"/>
          <w:lang w:val="en-US" w:eastAsia="zh-CN"/>
        </w:rPr>
        <w:t>[</w:t>
      </w:r>
      <w:r>
        <w:rPr>
          <w:rFonts w:hint="eastAsia"/>
        </w:rPr>
        <w:t>-4</w:t>
      </w:r>
      <w:r>
        <w:rPr>
          <w:rFonts w:hint="eastAsia"/>
          <w:lang w:val="en-US" w:eastAsia="zh-CN"/>
        </w:rPr>
        <w:t>]</w:t>
      </w:r>
      <w:r>
        <w:rPr>
          <w:rFonts w:hint="eastAsia"/>
        </w:rPr>
        <w:t xml:space="preserve">. For 4 UEs per cell, the percentage of delta MCS value larger than </w:t>
      </w:r>
      <w:r>
        <w:rPr>
          <w:rFonts w:hint="eastAsia"/>
          <w:lang w:val="en-US" w:eastAsia="zh-CN"/>
        </w:rPr>
        <w:t>[</w:t>
      </w:r>
      <w:r>
        <w:rPr>
          <w:rFonts w:hint="eastAsia"/>
        </w:rPr>
        <w:t>-4</w:t>
      </w:r>
      <w:r>
        <w:rPr>
          <w:rFonts w:hint="eastAsia"/>
          <w:lang w:val="en-US" w:eastAsia="zh-CN"/>
        </w:rPr>
        <w:t>]</w:t>
      </w:r>
      <w:r>
        <w:rPr>
          <w:rFonts w:hint="eastAsia"/>
        </w:rPr>
        <w:t xml:space="preserve"> reaches 95%. </w:t>
      </w:r>
    </w:p>
    <w:p>
      <w:pPr>
        <w:pStyle w:val="50"/>
        <w:spacing w:before="120" w:after="120"/>
        <w:jc w:val="both"/>
        <w:rPr>
          <w:rFonts w:eastAsia="宋体"/>
          <w:lang w:val="en-US" w:eastAsia="zh-CN"/>
        </w:rPr>
      </w:pPr>
      <w:r>
        <w:rPr>
          <w:rFonts w:hint="eastAsia" w:eastAsia="宋体"/>
          <w:lang w:val="en-US" w:eastAsia="zh-CN"/>
        </w:rPr>
        <w:t xml:space="preserve"> </w:t>
      </w:r>
      <w:bookmarkStart w:id="21" w:name="_Toc2365"/>
      <w:r>
        <w:rPr>
          <w:rFonts w:hint="eastAsia" w:eastAsia="宋体"/>
          <w:lang w:val="en-US" w:eastAsia="zh-CN"/>
        </w:rPr>
        <w:t>The delta MCS value is relatively small, so that the overhead of signaling can be reduced.</w:t>
      </w:r>
      <w:bookmarkEnd w:id="21"/>
    </w:p>
    <w:p>
      <w:pPr>
        <w:pStyle w:val="53"/>
        <w:spacing w:before="120" w:after="120"/>
        <w:rPr>
          <w:lang w:val="en-US" w:eastAsia="zh-CN"/>
        </w:rPr>
      </w:pPr>
      <w:r>
        <w:rPr>
          <w:lang w:val="en-US" w:eastAsia="zh-CN"/>
        </w:rPr>
        <w:t xml:space="preserve"> </w:t>
      </w:r>
      <w:bookmarkStart w:id="22" w:name="_Toc14050"/>
      <w:r>
        <w:rPr>
          <w:rFonts w:hint="eastAsia"/>
          <w:lang w:val="en-US" w:eastAsia="zh-CN"/>
        </w:rPr>
        <w:t>Link adaptation enhancement for re-transmission techniques, including e.g. delta MCS, can be studied for XR service transmission to improve capacity performance.</w:t>
      </w:r>
      <w:bookmarkEnd w:id="22"/>
      <w:r>
        <w:rPr>
          <w:rFonts w:hint="eastAsia"/>
          <w:lang w:val="en-US" w:eastAsia="zh-CN"/>
        </w:rPr>
        <w:t xml:space="preserve"> </w:t>
      </w:r>
    </w:p>
    <w:p>
      <w:pPr>
        <w:spacing w:before="120" w:after="120"/>
      </w:pPr>
    </w:p>
    <w:p>
      <w:pPr>
        <w:pStyle w:val="3"/>
        <w:spacing w:before="120" w:after="120"/>
        <w:ind w:left="991" w:right="210" w:hanging="991" w:hangingChars="354"/>
        <w:rPr>
          <w:rFonts w:eastAsia="宋体"/>
          <w:lang w:val="fr-FR"/>
        </w:rPr>
      </w:pPr>
      <w:r>
        <w:rPr>
          <w:rFonts w:hint="eastAsia" w:eastAsia="宋体"/>
          <w:szCs w:val="22"/>
        </w:rPr>
        <w:t>A</w:t>
      </w:r>
      <w:r>
        <w:rPr>
          <w:rFonts w:hint="eastAsia" w:eastAsia="宋体"/>
          <w:lang w:val="fr-FR"/>
        </w:rPr>
        <w:t>daptive inter-UE/intra-UE multiplexing</w:t>
      </w:r>
    </w:p>
    <w:p>
      <w:pPr>
        <w:spacing w:before="120" w:after="120"/>
      </w:pPr>
      <w:r>
        <w:rPr>
          <w:rFonts w:hint="eastAsia"/>
        </w:rPr>
        <w:t xml:space="preserve">Considering the case when the existing network starts to carry the XR service, data transmitted between different UEs may conflict with transmission resources, wherein the data of different UEs may include different QoS data stream of the same traffic, I stream and P-stream or different traffic, e.g., uRLLC and XR. </w:t>
      </w:r>
    </w:p>
    <w:p>
      <w:pPr>
        <w:spacing w:before="120" w:after="120"/>
      </w:pPr>
      <w:r>
        <w:rPr>
          <w:rFonts w:hint="eastAsia"/>
        </w:rPr>
        <w:t>For inter-UE/intra-UE multiplexing, we consider the following cases of preemption patterns for UEs multiplexing, where audio+video multi-streams model and Option1A: slice-based multi-stream model agreed in [1] are considered in the simulation.</w:t>
      </w:r>
      <w:r>
        <w:t xml:space="preserve"> The </w:t>
      </w:r>
      <w:r>
        <w:rPr>
          <w:rFonts w:hint="eastAsia"/>
        </w:rPr>
        <w:t>detailed information ha</w:t>
      </w:r>
      <w:r>
        <w:t>s</w:t>
      </w:r>
      <w:r>
        <w:rPr>
          <w:rFonts w:hint="eastAsia"/>
        </w:rPr>
        <w:t xml:space="preserve"> been given in [2]</w:t>
      </w:r>
      <w:r>
        <w:t xml:space="preserve">, </w:t>
      </w:r>
      <w:r>
        <w:rPr>
          <w:rFonts w:hint="eastAsia"/>
        </w:rPr>
        <w:t>the simulation results are shown as follows.</w:t>
      </w:r>
    </w:p>
    <w:p>
      <w:pPr>
        <w:spacing w:before="120" w:after="120"/>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2"/>
        <w:gridCol w:w="4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52" w:type="dxa"/>
          </w:tcPr>
          <w:p>
            <w:pPr>
              <w:spacing w:before="120" w:after="120" w:line="276" w:lineRule="auto"/>
              <w:rPr>
                <w:rFonts w:eastAsiaTheme="minorEastAsia"/>
                <w:i/>
                <w:iCs/>
                <w:lang w:val="fr-FR"/>
              </w:rPr>
            </w:pPr>
            <w:r>
              <w:drawing>
                <wp:inline distT="0" distB="0" distL="114300" distR="114300">
                  <wp:extent cx="2880360" cy="2160270"/>
                  <wp:effectExtent l="0" t="0" r="0" b="11430"/>
                  <wp:docPr id="3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6"/>
                          <pic:cNvPicPr>
                            <a:picLocks noChangeAspect="1"/>
                          </pic:cNvPicPr>
                        </pic:nvPicPr>
                        <pic:blipFill>
                          <a:blip r:embed="rId23" cstate="print"/>
                          <a:stretch>
                            <a:fillRect/>
                          </a:stretch>
                        </pic:blipFill>
                        <pic:spPr>
                          <a:xfrm>
                            <a:off x="0" y="0"/>
                            <a:ext cx="2880360" cy="2160270"/>
                          </a:xfrm>
                          <a:prstGeom prst="rect">
                            <a:avLst/>
                          </a:prstGeom>
                          <a:noFill/>
                          <a:ln>
                            <a:noFill/>
                          </a:ln>
                        </pic:spPr>
                      </pic:pic>
                    </a:graphicData>
                  </a:graphic>
                </wp:inline>
              </w:drawing>
            </w:r>
          </w:p>
        </w:tc>
        <w:tc>
          <w:tcPr>
            <w:tcW w:w="4752" w:type="dxa"/>
          </w:tcPr>
          <w:p>
            <w:pPr>
              <w:spacing w:before="120" w:after="120" w:line="276" w:lineRule="auto"/>
              <w:rPr>
                <w:rFonts w:eastAsiaTheme="minorEastAsia"/>
                <w:i/>
                <w:iCs/>
                <w:lang w:val="fr-FR"/>
              </w:rPr>
            </w:pPr>
            <w:r>
              <w:drawing>
                <wp:inline distT="0" distB="0" distL="114300" distR="114300">
                  <wp:extent cx="2880360" cy="2160270"/>
                  <wp:effectExtent l="0" t="0" r="0" b="11430"/>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pic:cNvPicPr>
                        </pic:nvPicPr>
                        <pic:blipFill>
                          <a:blip r:embed="rId24" cstate="print"/>
                          <a:stretch>
                            <a:fillRect/>
                          </a:stretch>
                        </pic:blipFill>
                        <pic:spPr>
                          <a:xfrm>
                            <a:off x="0" y="0"/>
                            <a:ext cx="288036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52" w:type="dxa"/>
          </w:tcPr>
          <w:p>
            <w:pPr>
              <w:pStyle w:val="29"/>
              <w:spacing w:after="120" w:line="276" w:lineRule="auto"/>
              <w:ind w:left="269"/>
              <w:jc w:val="center"/>
              <w:rPr>
                <w:rFonts w:eastAsia="宋体"/>
                <w:kern w:val="0"/>
                <w:sz w:val="21"/>
                <w:szCs w:val="21"/>
              </w:rPr>
            </w:pPr>
            <w:r>
              <w:rPr>
                <w:rFonts w:hint="eastAsia" w:eastAsia="宋体"/>
                <w:kern w:val="0"/>
                <w:sz w:val="21"/>
                <w:szCs w:val="21"/>
              </w:rPr>
              <w:t>(a)</w:t>
            </w:r>
            <w:r>
              <w:rPr>
                <w:kern w:val="0"/>
                <w:sz w:val="21"/>
                <w:szCs w:val="21"/>
                <w:lang w:val="en-GB" w:eastAsia="en-US"/>
              </w:rPr>
              <w:t>Capacity</w:t>
            </w:r>
            <w:r>
              <w:rPr>
                <w:rFonts w:hint="eastAsia" w:eastAsia="宋体"/>
                <w:kern w:val="0"/>
                <w:sz w:val="21"/>
                <w:szCs w:val="21"/>
              </w:rPr>
              <w:t xml:space="preserve"> on audio+video multi-streams model</w:t>
            </w:r>
          </w:p>
        </w:tc>
        <w:tc>
          <w:tcPr>
            <w:tcW w:w="4752" w:type="dxa"/>
          </w:tcPr>
          <w:p>
            <w:pPr>
              <w:pStyle w:val="29"/>
              <w:spacing w:after="120" w:line="276" w:lineRule="auto"/>
              <w:ind w:left="0"/>
              <w:jc w:val="center"/>
              <w:rPr>
                <w:kern w:val="0"/>
                <w:sz w:val="21"/>
                <w:szCs w:val="21"/>
                <w:lang w:val="en-GB" w:eastAsia="en-US"/>
              </w:rPr>
            </w:pPr>
            <w:r>
              <w:rPr>
                <w:rFonts w:hint="eastAsia" w:eastAsia="宋体"/>
                <w:kern w:val="0"/>
                <w:sz w:val="21"/>
                <w:szCs w:val="21"/>
              </w:rPr>
              <w:t>(b)Capacity on slice-based multi-streams model</w:t>
            </w:r>
          </w:p>
        </w:tc>
      </w:tr>
    </w:tbl>
    <w:p>
      <w:pPr>
        <w:spacing w:before="120" w:after="120"/>
        <w:jc w:val="center"/>
        <w:rPr>
          <w:iCs/>
        </w:rPr>
      </w:pPr>
      <w:r>
        <w:rPr>
          <w:iCs/>
        </w:rPr>
        <w:t>Figure 1</w:t>
      </w:r>
      <w:r>
        <w:rPr>
          <w:rFonts w:hint="eastAsia"/>
          <w:iCs/>
        </w:rPr>
        <w:t>1</w:t>
      </w:r>
      <w:r>
        <w:rPr>
          <w:iCs/>
        </w:rPr>
        <w:t xml:space="preserve"> Capacity performance among Enhanced preemption indication, Rel-15 preemption indication and No preemption indication</w:t>
      </w:r>
      <w:r>
        <w:rPr>
          <w:rFonts w:hint="eastAsia"/>
          <w:iCs/>
        </w:rPr>
        <w:t xml:space="preserve"> for multi-streams model</w:t>
      </w:r>
      <w:r>
        <w:rPr>
          <w:iCs/>
        </w:rPr>
        <w:t>.</w:t>
      </w:r>
    </w:p>
    <w:p>
      <w:pPr>
        <w:spacing w:before="120" w:after="120"/>
      </w:pPr>
      <w:r>
        <w:rPr>
          <w:rFonts w:hint="eastAsia"/>
        </w:rPr>
        <w:t xml:space="preserve">According to Figure 11(a), </w:t>
      </w:r>
      <w:bookmarkStart w:id="23" w:name="_Toc87003951"/>
      <w:r>
        <w:rPr>
          <w:rFonts w:hint="eastAsia"/>
        </w:rPr>
        <w:t>in DL FR1 indoor HotSpot scenario, for audio/data + video multi-streams model, capacity performances are increased from [4.9] without preemption to [8.4] @90% satisfied UE percentage with enhanced preemption by about [71.43%], while capacity performances are increased from [5.7] with Rel-15 preemption to [8.4] @90% satisfied UE percentage with enhanced preemption by about [47.37%]</w:t>
      </w:r>
    </w:p>
    <w:p>
      <w:pPr>
        <w:spacing w:before="120" w:after="120"/>
      </w:pPr>
      <w:r>
        <w:rPr>
          <w:rFonts w:hint="eastAsia"/>
        </w:rPr>
        <w:t>According to Figure 1</w:t>
      </w:r>
      <w:r>
        <w:rPr>
          <w:rFonts w:hint="eastAsia"/>
          <w:lang w:val="en-US" w:eastAsia="zh-CN"/>
        </w:rPr>
        <w:t>1</w:t>
      </w:r>
      <w:r>
        <w:rPr>
          <w:rFonts w:hint="eastAsia"/>
        </w:rPr>
        <w:t>(b), in DL FR1 indoor HotSpot scenario, for slice-based multi-streams traffic model, capacity performance are increased from [4.5] without preemption to [10.2] @90% satisfied UE percentage with enhanced preemption by about [126.67%], while capacity performances are increased from [7.1] with Rel-15 preemption to [10.2] @90% satisfied UE percentage with enhanced preemption by about [43.66%]</w:t>
      </w:r>
    </w:p>
    <w:bookmarkEnd w:id="23"/>
    <w:p>
      <w:pPr>
        <w:spacing w:before="120" w:after="120"/>
      </w:pPr>
      <w:r>
        <w:t xml:space="preserve">Moreover, for </w:t>
      </w:r>
      <w:r>
        <w:rPr>
          <w:rFonts w:hint="eastAsia"/>
        </w:rPr>
        <w:t xml:space="preserve">UE multiplexing </w:t>
      </w:r>
      <w:r>
        <w:t>among</w:t>
      </w:r>
      <w:r>
        <w:rPr>
          <w:rFonts w:hint="eastAsia"/>
        </w:rPr>
        <w:t xml:space="preserve"> XR traffic and uRLLC traffic</w:t>
      </w:r>
      <w:r>
        <w:t>, similar capacity gain is observed in [2]</w:t>
      </w:r>
      <w:r>
        <w:rPr>
          <w:rFonts w:hint="eastAsia"/>
        </w:rPr>
        <w:t>.</w:t>
      </w:r>
    </w:p>
    <w:p>
      <w:pPr>
        <w:pStyle w:val="50"/>
        <w:spacing w:before="120" w:after="120"/>
        <w:jc w:val="both"/>
        <w:rPr>
          <w:rFonts w:eastAsia="宋体"/>
          <w:lang w:val="en-US" w:eastAsia="zh-CN"/>
        </w:rPr>
      </w:pPr>
      <w:bookmarkStart w:id="24" w:name="_Toc18687"/>
      <w:r>
        <w:rPr>
          <w:rFonts w:hint="eastAsia" w:eastAsia="宋体"/>
          <w:lang w:val="en-US" w:eastAsia="zh-CN"/>
        </w:rPr>
        <w:t>Enhanced preemption indication is capable of enhancing capacity performance when multi-streams model is considered in the system</w:t>
      </w:r>
      <w:r>
        <w:rPr>
          <w:rFonts w:hint="eastAsia"/>
          <w:lang w:val="en-US" w:eastAsia="zh-CN"/>
        </w:rPr>
        <w:t>.</w:t>
      </w:r>
      <w:bookmarkEnd w:id="24"/>
    </w:p>
    <w:p>
      <w:pPr>
        <w:pStyle w:val="53"/>
        <w:spacing w:before="120" w:after="120"/>
        <w:rPr>
          <w:lang w:val="en-US" w:eastAsia="zh-CN"/>
        </w:rPr>
      </w:pPr>
      <w:r>
        <w:rPr>
          <w:lang w:val="en-US" w:eastAsia="zh-CN"/>
        </w:rPr>
        <w:t xml:space="preserve"> </w:t>
      </w:r>
      <w:bookmarkStart w:id="25" w:name="_Toc22023"/>
      <w:r>
        <w:rPr>
          <w:rFonts w:hint="eastAsia"/>
          <w:lang w:val="en-US" w:eastAsia="zh-CN"/>
        </w:rPr>
        <w:t>A</w:t>
      </w:r>
      <w:r>
        <w:rPr>
          <w:rFonts w:hint="eastAsia" w:eastAsia="宋体"/>
          <w:lang w:val="fr-FR"/>
        </w:rPr>
        <w:t>daptive int</w:t>
      </w:r>
      <w:r>
        <w:rPr>
          <w:rFonts w:hint="eastAsia" w:eastAsia="宋体"/>
          <w:lang w:val="en-US" w:eastAsia="zh-CN"/>
        </w:rPr>
        <w:t>er</w:t>
      </w:r>
      <w:r>
        <w:rPr>
          <w:rFonts w:hint="eastAsia" w:eastAsia="宋体"/>
          <w:lang w:val="fr-FR"/>
        </w:rPr>
        <w:t>-UE</w:t>
      </w:r>
      <w:r>
        <w:rPr>
          <w:rFonts w:hint="eastAsia" w:eastAsia="宋体"/>
          <w:lang w:val="en-US" w:eastAsia="zh-CN"/>
        </w:rPr>
        <w:t>/intra-UE</w:t>
      </w:r>
      <w:r>
        <w:rPr>
          <w:rFonts w:hint="eastAsia" w:eastAsia="宋体"/>
          <w:lang w:val="fr-FR"/>
        </w:rPr>
        <w:t xml:space="preserve"> multiplexing</w:t>
      </w:r>
      <w:r>
        <w:rPr>
          <w:rFonts w:hint="eastAsia" w:eastAsia="宋体"/>
          <w:lang w:val="en-US" w:eastAsia="zh-CN"/>
        </w:rPr>
        <w:t xml:space="preserve"> </w:t>
      </w:r>
      <w:r>
        <w:rPr>
          <w:rFonts w:hint="eastAsia"/>
          <w:lang w:val="en-US" w:eastAsia="zh-CN"/>
        </w:rPr>
        <w:t xml:space="preserve">techniques, including e.g. finer granularity preemption indication, </w:t>
      </w:r>
      <w:r>
        <w:rPr>
          <w:lang w:val="en-US" w:eastAsia="zh-CN"/>
        </w:rPr>
        <w:t>should</w:t>
      </w:r>
      <w:r>
        <w:rPr>
          <w:rFonts w:hint="eastAsia"/>
          <w:lang w:val="en-US" w:eastAsia="zh-CN"/>
        </w:rPr>
        <w:t xml:space="preserve"> be studied for transmission to improve system capacity performance.</w:t>
      </w:r>
      <w:bookmarkEnd w:id="25"/>
    </w:p>
    <w:p>
      <w:pPr>
        <w:pStyle w:val="53"/>
        <w:numPr>
          <w:ilvl w:val="0"/>
          <w:numId w:val="0"/>
        </w:numPr>
        <w:spacing w:before="120" w:after="120"/>
      </w:pPr>
      <w:r>
        <w:rPr>
          <w:rFonts w:hint="eastAsia"/>
          <w:lang w:val="en-US" w:eastAsia="zh-CN"/>
        </w:rPr>
        <w:t xml:space="preserve"> </w:t>
      </w:r>
    </w:p>
    <w:p>
      <w:pPr>
        <w:pStyle w:val="3"/>
        <w:spacing w:before="120" w:after="120"/>
        <w:ind w:left="991" w:right="210" w:hanging="991" w:hangingChars="354"/>
        <w:rPr>
          <w:rFonts w:eastAsia="宋体"/>
          <w:szCs w:val="22"/>
        </w:rPr>
      </w:pPr>
      <w:r>
        <w:rPr>
          <w:rFonts w:hint="eastAsia" w:eastAsia="宋体"/>
          <w:szCs w:val="22"/>
        </w:rPr>
        <w:t>Network coding</w:t>
      </w:r>
    </w:p>
    <w:p>
      <w:pPr>
        <w:spacing w:before="120" w:after="120"/>
      </w:pPr>
      <w:r>
        <w:rPr>
          <w:rFonts w:hint="eastAsia"/>
        </w:rPr>
        <w:t>Due to the requirement of low latency and high reliability of XR traffic, the ARQ functionality in RLC layer needs to be de</w:t>
      </w:r>
      <w:r>
        <w:t xml:space="preserve">-activated </w:t>
      </w:r>
      <w:r>
        <w:rPr>
          <w:rFonts w:hint="eastAsia"/>
        </w:rPr>
        <w:t xml:space="preserve">or limited, which leads to insufficient reliability. </w:t>
      </w:r>
    </w:p>
    <w:p>
      <w:pPr>
        <w:spacing w:before="120" w:after="120" w:line="240" w:lineRule="exact"/>
      </w:pPr>
      <w:r>
        <w:t xml:space="preserve">In Rel-16, PDCP duplication was introduced to enhance the transmission reliability at the cost of resource efficiency. To improve the resource utilization and </w:t>
      </w:r>
      <w:r>
        <w:rPr>
          <w:rFonts w:hint="eastAsia"/>
        </w:rPr>
        <w:t xml:space="preserve">system </w:t>
      </w:r>
      <w:r>
        <w:t xml:space="preserve">reliability, network coding can be considered. </w:t>
      </w:r>
      <w:r>
        <w:rPr>
          <w:rFonts w:hint="eastAsia"/>
        </w:rPr>
        <w:t>The network coding can be applied in the PDCP layer or in a sub-layer between PDCP layer and RLC layer. Compared with PDCP duplication, network coding provide</w:t>
      </w:r>
      <w:r>
        <w:t>s coding gain with</w:t>
      </w:r>
      <w:r>
        <w:rPr>
          <w:rFonts w:hint="eastAsia"/>
        </w:rPr>
        <w:t xml:space="preserve"> better error detection and correction </w:t>
      </w:r>
      <w:r>
        <w:t>performance</w:t>
      </w:r>
      <w:r>
        <w:rPr>
          <w:rFonts w:hint="eastAsia"/>
        </w:rPr>
        <w:t>.</w:t>
      </w:r>
      <w:r>
        <w:t xml:space="preserve"> </w:t>
      </w:r>
    </w:p>
    <w:p>
      <w:pPr>
        <w:spacing w:before="120" w:after="120" w:line="240" w:lineRule="exact"/>
      </w:pPr>
      <w:r>
        <w:rPr>
          <w:rFonts w:hint="eastAsia"/>
          <w:iCs/>
        </w:rPr>
        <w:t>The procedure of network coding</w:t>
      </w:r>
      <w:r>
        <w:rPr>
          <w:iCs/>
        </w:rPr>
        <w:t xml:space="preserve"> </w:t>
      </w:r>
      <w:r>
        <w:t>is</w:t>
      </w:r>
      <w:r>
        <w:rPr>
          <w:rFonts w:hint="eastAsia"/>
        </w:rPr>
        <w:t xml:space="preserve"> depicted by Figure 12. And the detail information has been given in [2].</w:t>
      </w:r>
    </w:p>
    <w:p>
      <w:pPr>
        <w:spacing w:before="120" w:after="120"/>
        <w:jc w:val="center"/>
      </w:pPr>
      <w:r>
        <w:drawing>
          <wp:inline distT="0" distB="0" distL="114300" distR="114300">
            <wp:extent cx="2858135" cy="3014980"/>
            <wp:effectExtent l="0" t="0" r="0" b="0"/>
            <wp:docPr id="56" name="图片 56" descr="网络编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网络编码"/>
                    <pic:cNvPicPr>
                      <a:picLocks noChangeAspect="1"/>
                    </pic:cNvPicPr>
                  </pic:nvPicPr>
                  <pic:blipFill>
                    <a:blip r:embed="rId25"/>
                    <a:stretch>
                      <a:fillRect/>
                    </a:stretch>
                  </pic:blipFill>
                  <pic:spPr>
                    <a:xfrm>
                      <a:off x="0" y="0"/>
                      <a:ext cx="2868117" cy="3024903"/>
                    </a:xfrm>
                    <a:prstGeom prst="rect">
                      <a:avLst/>
                    </a:prstGeom>
                  </pic:spPr>
                </pic:pic>
              </a:graphicData>
            </a:graphic>
          </wp:inline>
        </w:drawing>
      </w:r>
    </w:p>
    <w:p>
      <w:pPr>
        <w:spacing w:before="120" w:after="120"/>
        <w:jc w:val="center"/>
        <w:rPr>
          <w:iCs/>
        </w:rPr>
      </w:pPr>
      <w:r>
        <w:rPr>
          <w:iCs/>
        </w:rPr>
        <w:t>Figure 1</w:t>
      </w:r>
      <w:r>
        <w:rPr>
          <w:iCs/>
        </w:rPr>
        <w:t>2</w:t>
      </w:r>
      <w:r>
        <w:rPr>
          <w:iCs/>
        </w:rPr>
        <w:t xml:space="preserve"> Procedure of network coding</w:t>
      </w:r>
    </w:p>
    <w:p>
      <w:pPr>
        <w:spacing w:before="120" w:after="120"/>
      </w:pPr>
      <w:r>
        <w:rPr>
          <w:rFonts w:hint="eastAsia"/>
        </w:rPr>
        <w:t>For network coding, UE does not need to successfully receive all source packets. If the number of successfully received packets equals to or are larger than the original packets, it can be successfully received by UE. Network coding provides more coding gain and increases the system reliability.</w:t>
      </w:r>
    </w:p>
    <w:p>
      <w:pPr>
        <w:pStyle w:val="50"/>
        <w:spacing w:before="120" w:after="120"/>
        <w:jc w:val="both"/>
      </w:pPr>
      <w:bookmarkStart w:id="26" w:name="_Toc6619"/>
      <w:r>
        <w:rPr>
          <w:rFonts w:hint="eastAsia" w:eastAsia="宋体"/>
          <w:lang w:val="en-US" w:eastAsia="zh-CN"/>
        </w:rPr>
        <w:t>Network coding technique is capable of enhancing the reliability of transmission.</w:t>
      </w:r>
      <w:bookmarkEnd w:id="26"/>
    </w:p>
    <w:p>
      <w:pPr>
        <w:spacing w:before="120" w:after="120"/>
      </w:pPr>
      <w:r>
        <w:t>Next, same as in [2], the simulation results of PDCP duplication and network coding are shown in</w:t>
      </w:r>
      <w:r>
        <w:rPr>
          <w:b/>
          <w:bCs/>
        </w:rPr>
        <w:t xml:space="preserve"> </w:t>
      </w:r>
      <w:r>
        <w:t xml:space="preserve">Figure </w:t>
      </w:r>
      <w:r>
        <w:rPr>
          <w:rFonts w:hint="eastAsia"/>
        </w:rPr>
        <w:t>1</w:t>
      </w:r>
      <w:r>
        <w:rPr>
          <w:rFonts w:hint="eastAsia"/>
          <w:lang w:val="en-US" w:eastAsia="zh-CN"/>
        </w:rPr>
        <w:t>3</w:t>
      </w:r>
      <w:r>
        <w:t>.</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803" w:type="dxa"/>
          </w:tcPr>
          <w:p>
            <w:pPr>
              <w:spacing w:before="120" w:after="120" w:line="276" w:lineRule="auto"/>
              <w:jc w:val="center"/>
              <w:rPr>
                <w:rFonts w:eastAsiaTheme="minorEastAsia"/>
                <w:i/>
                <w:iCs/>
                <w:lang w:val="fr-FR"/>
              </w:rPr>
            </w:pPr>
            <w:r>
              <w:drawing>
                <wp:inline distT="0" distB="0" distL="114300" distR="114300">
                  <wp:extent cx="3600450" cy="2700020"/>
                  <wp:effectExtent l="0" t="0" r="0" b="5080"/>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26" cstate="print"/>
                          <a:stretch>
                            <a:fillRect/>
                          </a:stretch>
                        </pic:blipFill>
                        <pic:spPr>
                          <a:xfrm>
                            <a:off x="0" y="0"/>
                            <a:ext cx="3600450" cy="2700020"/>
                          </a:xfrm>
                          <a:prstGeom prst="rect">
                            <a:avLst/>
                          </a:prstGeom>
                          <a:noFill/>
                          <a:ln>
                            <a:noFill/>
                          </a:ln>
                        </pic:spPr>
                      </pic:pic>
                    </a:graphicData>
                  </a:graphic>
                </wp:inline>
              </w:drawing>
            </w:r>
          </w:p>
        </w:tc>
      </w:tr>
    </w:tbl>
    <w:p>
      <w:pPr>
        <w:spacing w:before="120" w:after="120"/>
        <w:jc w:val="center"/>
        <w:rPr>
          <w:iCs/>
        </w:rPr>
      </w:pPr>
      <w:r>
        <w:rPr>
          <w:iCs/>
        </w:rPr>
        <w:t>Figure 1</w:t>
      </w:r>
      <w:r>
        <w:rPr>
          <w:iCs/>
        </w:rPr>
        <w:t>3</w:t>
      </w:r>
      <w:r>
        <w:rPr>
          <w:iCs/>
        </w:rPr>
        <w:t xml:space="preserve"> Network coding &amp; PDCP duplication results for VR 30Mbps in Indoor scenario in FR1</w:t>
      </w:r>
    </w:p>
    <w:p>
      <w:pPr>
        <w:spacing w:before="120" w:after="120"/>
      </w:pPr>
      <w:r>
        <w:rPr>
          <w:rFonts w:hint="eastAsia"/>
        </w:rPr>
        <w:t>According to the simulation results, the capacity for network coding and PDC</w:t>
      </w:r>
      <w:r>
        <w:t>P</w:t>
      </w:r>
      <w:r>
        <w:rPr>
          <w:rFonts w:hint="eastAsia"/>
        </w:rPr>
        <w:t xml:space="preserve"> duplication are [8.9] and [7.9]</w:t>
      </w:r>
      <w:r>
        <w:t>@90% of satisfied UE,</w:t>
      </w:r>
      <w:r>
        <w:rPr>
          <w:rFonts w:hint="eastAsia"/>
        </w:rPr>
        <w:t xml:space="preserve"> respectively.</w:t>
      </w:r>
      <w:r>
        <w:t xml:space="preserve"> Thus, capacity performance is increased about [12.66%].</w:t>
      </w:r>
    </w:p>
    <w:p>
      <w:pPr>
        <w:pStyle w:val="50"/>
        <w:spacing w:before="120" w:after="120"/>
        <w:jc w:val="both"/>
        <w:rPr>
          <w:lang w:val="en-US" w:eastAsia="zh-CN"/>
        </w:rPr>
      </w:pPr>
      <w:bookmarkStart w:id="27" w:name="_Toc87003959"/>
      <w:bookmarkStart w:id="28" w:name="_Toc4428"/>
      <w:r>
        <w:rPr>
          <w:lang w:val="en-US" w:eastAsia="zh-CN"/>
        </w:rPr>
        <w:t xml:space="preserve">For </w:t>
      </w:r>
      <w:r>
        <w:rPr>
          <w:rFonts w:hint="eastAsia"/>
          <w:lang w:val="en-US" w:eastAsia="zh-CN"/>
        </w:rPr>
        <w:t>3</w:t>
      </w:r>
      <w:r>
        <w:rPr>
          <w:lang w:val="en-US" w:eastAsia="zh-CN"/>
        </w:rPr>
        <w:t xml:space="preserve">0Mbps@60fps, capacity performance is increased about [12.66%] with </w:t>
      </w:r>
      <w:r>
        <w:rPr>
          <w:rFonts w:hint="eastAsia"/>
          <w:lang w:val="en-US" w:eastAsia="zh-CN"/>
        </w:rPr>
        <w:t>network coding</w:t>
      </w:r>
      <w:r>
        <w:rPr>
          <w:lang w:val="en-US" w:eastAsia="zh-CN"/>
        </w:rPr>
        <w:t xml:space="preserve"> for </w:t>
      </w:r>
      <w:r>
        <w:rPr>
          <w:rFonts w:hint="eastAsia"/>
          <w:lang w:val="en-US" w:eastAsia="zh-CN"/>
        </w:rPr>
        <w:t>DL VR/AR</w:t>
      </w:r>
      <w:r>
        <w:rPr>
          <w:lang w:val="en-US" w:eastAsia="zh-CN"/>
        </w:rPr>
        <w:t xml:space="preserve"> traffic model in DL FR1</w:t>
      </w:r>
      <w:r>
        <w:rPr>
          <w:rFonts w:hint="eastAsia"/>
          <w:lang w:val="en-US" w:eastAsia="zh-CN"/>
        </w:rPr>
        <w:t xml:space="preserve"> indoor</w:t>
      </w:r>
      <w:r>
        <w:rPr>
          <w:lang w:val="en-US" w:eastAsia="zh-CN"/>
        </w:rPr>
        <w:t xml:space="preserve"> scenario.</w:t>
      </w:r>
      <w:bookmarkEnd w:id="27"/>
      <w:bookmarkEnd w:id="28"/>
    </w:p>
    <w:p>
      <w:pPr>
        <w:spacing w:before="120" w:after="120"/>
        <w:jc w:val="center"/>
      </w:pPr>
      <w:r>
        <w:rPr>
          <w:rFonts w:hint="eastAsia"/>
        </w:rPr>
        <w:t xml:space="preserve">Table </w:t>
      </w:r>
      <w:r>
        <w:rPr>
          <w:rFonts w:hint="eastAsia"/>
          <w:lang w:val="en-US" w:eastAsia="zh-CN"/>
        </w:rPr>
        <w:t>2</w:t>
      </w:r>
      <w:r>
        <w:rPr>
          <w:rFonts w:hint="eastAsia"/>
        </w:rPr>
        <w:t xml:space="preserve"> Throughput results (the number of UEs per cell =</w:t>
      </w:r>
      <w:r>
        <w:t xml:space="preserve"> </w:t>
      </w:r>
      <w:r>
        <w:rPr>
          <w:rFonts w:hint="eastAsia"/>
        </w:rPr>
        <w:t>9)</w:t>
      </w:r>
    </w:p>
    <w:tbl>
      <w:tblPr>
        <w:tblStyle w:val="16"/>
        <w:tblW w:w="6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554"/>
        <w:gridCol w:w="1544"/>
        <w:gridCol w:w="171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jc w:val="center"/>
        </w:trPr>
        <w:tc>
          <w:tcPr>
            <w:tcW w:w="2554" w:type="dxa"/>
            <w:shd w:val="clear" w:color="auto" w:fill="auto"/>
            <w:tcMar>
              <w:top w:w="12" w:type="dxa"/>
              <w:left w:w="12" w:type="dxa"/>
              <w:right w:w="12" w:type="dxa"/>
            </w:tcMar>
            <w:vAlign w:val="center"/>
          </w:tcPr>
          <w:p>
            <w:pPr>
              <w:spacing w:beforeLines="0" w:after="0" w:afterLines="0"/>
              <w:jc w:val="center"/>
              <w:textAlignment w:val="center"/>
              <w:rPr>
                <w:b/>
                <w:bCs/>
                <w:color w:val="000000"/>
                <w:kern w:val="0"/>
                <w:sz w:val="18"/>
                <w:szCs w:val="18"/>
              </w:rPr>
            </w:pPr>
            <w:r>
              <w:rPr>
                <w:b/>
                <w:bCs/>
                <w:color w:val="000000"/>
                <w:kern w:val="0"/>
                <w:sz w:val="18"/>
                <w:szCs w:val="18"/>
              </w:rPr>
              <w:t>Throughput</w:t>
            </w:r>
          </w:p>
        </w:tc>
        <w:tc>
          <w:tcPr>
            <w:tcW w:w="1544" w:type="dxa"/>
            <w:shd w:val="clear" w:color="auto" w:fill="auto"/>
            <w:noWrap/>
            <w:tcMar>
              <w:top w:w="12" w:type="dxa"/>
              <w:left w:w="12" w:type="dxa"/>
              <w:right w:w="12" w:type="dxa"/>
            </w:tcMar>
            <w:vAlign w:val="center"/>
          </w:tcPr>
          <w:p>
            <w:pPr>
              <w:spacing w:beforeLines="0" w:after="0" w:afterLines="0"/>
              <w:jc w:val="center"/>
              <w:textAlignment w:val="center"/>
              <w:rPr>
                <w:b/>
                <w:bCs/>
                <w:color w:val="000000"/>
                <w:kern w:val="0"/>
                <w:sz w:val="18"/>
                <w:szCs w:val="18"/>
              </w:rPr>
            </w:pPr>
            <w:r>
              <w:rPr>
                <w:b/>
                <w:bCs/>
                <w:color w:val="000000"/>
                <w:kern w:val="0"/>
                <w:sz w:val="18"/>
                <w:szCs w:val="18"/>
              </w:rPr>
              <w:t>Network coding</w:t>
            </w:r>
          </w:p>
        </w:tc>
        <w:tc>
          <w:tcPr>
            <w:tcW w:w="1716" w:type="dxa"/>
            <w:shd w:val="clear" w:color="auto" w:fill="auto"/>
            <w:noWrap/>
            <w:tcMar>
              <w:top w:w="12" w:type="dxa"/>
              <w:left w:w="12" w:type="dxa"/>
              <w:right w:w="12" w:type="dxa"/>
            </w:tcMar>
            <w:vAlign w:val="center"/>
          </w:tcPr>
          <w:p>
            <w:pPr>
              <w:spacing w:beforeLines="0" w:after="0" w:afterLines="0"/>
              <w:jc w:val="center"/>
              <w:textAlignment w:val="center"/>
              <w:rPr>
                <w:b/>
                <w:bCs/>
                <w:color w:val="000000"/>
                <w:kern w:val="0"/>
                <w:sz w:val="18"/>
                <w:szCs w:val="18"/>
              </w:rPr>
            </w:pPr>
            <w:r>
              <w:rPr>
                <w:b/>
                <w:bCs/>
                <w:color w:val="000000"/>
                <w:kern w:val="0"/>
                <w:sz w:val="18"/>
                <w:szCs w:val="18"/>
              </w:rPr>
              <w:t>PDCP duplication</w:t>
            </w:r>
          </w:p>
        </w:tc>
        <w:tc>
          <w:tcPr>
            <w:tcW w:w="1134" w:type="dxa"/>
            <w:shd w:val="clear" w:color="auto" w:fill="auto"/>
            <w:noWrap/>
            <w:tcMar>
              <w:top w:w="12" w:type="dxa"/>
              <w:left w:w="12" w:type="dxa"/>
              <w:right w:w="12" w:type="dxa"/>
            </w:tcMar>
            <w:vAlign w:val="center"/>
          </w:tcPr>
          <w:p>
            <w:pPr>
              <w:spacing w:beforeLines="0" w:after="0" w:afterLines="0"/>
              <w:jc w:val="center"/>
              <w:textAlignment w:val="center"/>
              <w:rPr>
                <w:b/>
                <w:bCs/>
                <w:kern w:val="0"/>
                <w:sz w:val="18"/>
                <w:szCs w:val="18"/>
              </w:rPr>
            </w:pPr>
            <w:r>
              <w:rPr>
                <w:b/>
                <w:bCs/>
                <w:kern w:val="0"/>
                <w:sz w:val="18"/>
                <w:szCs w:val="18"/>
              </w:rPr>
              <w:t>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7" w:hRule="atLeast"/>
          <w:jc w:val="center"/>
        </w:trPr>
        <w:tc>
          <w:tcPr>
            <w:tcW w:w="2554" w:type="dxa"/>
            <w:shd w:val="clear" w:color="auto" w:fill="auto"/>
            <w:tcMar>
              <w:top w:w="12" w:type="dxa"/>
              <w:left w:w="12" w:type="dxa"/>
              <w:right w:w="12" w:type="dxa"/>
            </w:tcMar>
            <w:vAlign w:val="center"/>
          </w:tcPr>
          <w:p>
            <w:pPr>
              <w:spacing w:beforeLines="0" w:after="0" w:afterLines="0"/>
              <w:jc w:val="center"/>
              <w:textAlignment w:val="center"/>
              <w:rPr>
                <w:bCs/>
                <w:color w:val="000000"/>
                <w:sz w:val="18"/>
                <w:szCs w:val="18"/>
              </w:rPr>
            </w:pPr>
            <w:r>
              <w:rPr>
                <w:bCs/>
                <w:color w:val="000000"/>
                <w:kern w:val="0"/>
                <w:sz w:val="18"/>
                <w:szCs w:val="18"/>
              </w:rPr>
              <w:t>Served Cell Throughput (Mbps)</w:t>
            </w:r>
          </w:p>
        </w:tc>
        <w:tc>
          <w:tcPr>
            <w:tcW w:w="1544" w:type="dxa"/>
            <w:shd w:val="clear" w:color="auto" w:fill="auto"/>
            <w:noWrap/>
            <w:tcMar>
              <w:top w:w="12" w:type="dxa"/>
              <w:left w:w="12" w:type="dxa"/>
              <w:right w:w="12" w:type="dxa"/>
            </w:tcMar>
            <w:vAlign w:val="center"/>
          </w:tcPr>
          <w:p>
            <w:pPr>
              <w:spacing w:beforeLines="0" w:after="0" w:afterLines="0"/>
              <w:jc w:val="center"/>
              <w:textAlignment w:val="center"/>
              <w:rPr>
                <w:color w:val="000000"/>
                <w:sz w:val="18"/>
                <w:szCs w:val="18"/>
              </w:rPr>
            </w:pPr>
            <w:r>
              <w:rPr>
                <w:color w:val="000000"/>
                <w:kern w:val="0"/>
                <w:sz w:val="18"/>
                <w:szCs w:val="18"/>
              </w:rPr>
              <w:t>268.15535</w:t>
            </w:r>
          </w:p>
        </w:tc>
        <w:tc>
          <w:tcPr>
            <w:tcW w:w="1716" w:type="dxa"/>
            <w:shd w:val="clear" w:color="auto" w:fill="auto"/>
            <w:noWrap/>
            <w:tcMar>
              <w:top w:w="12" w:type="dxa"/>
              <w:left w:w="12" w:type="dxa"/>
              <w:right w:w="12" w:type="dxa"/>
            </w:tcMar>
            <w:vAlign w:val="center"/>
          </w:tcPr>
          <w:p>
            <w:pPr>
              <w:spacing w:beforeLines="0" w:after="0" w:afterLines="0"/>
              <w:jc w:val="center"/>
              <w:textAlignment w:val="center"/>
              <w:rPr>
                <w:color w:val="000000"/>
                <w:sz w:val="18"/>
                <w:szCs w:val="18"/>
              </w:rPr>
            </w:pPr>
            <w:r>
              <w:rPr>
                <w:color w:val="000000"/>
                <w:kern w:val="0"/>
                <w:sz w:val="18"/>
                <w:szCs w:val="18"/>
              </w:rPr>
              <w:t>261.7183</w:t>
            </w:r>
          </w:p>
        </w:tc>
        <w:tc>
          <w:tcPr>
            <w:tcW w:w="1134" w:type="dxa"/>
            <w:shd w:val="clear" w:color="auto" w:fill="auto"/>
            <w:noWrap/>
            <w:tcMar>
              <w:top w:w="12" w:type="dxa"/>
              <w:left w:w="12" w:type="dxa"/>
              <w:right w:w="12" w:type="dxa"/>
            </w:tcMar>
            <w:vAlign w:val="center"/>
          </w:tcPr>
          <w:p>
            <w:pPr>
              <w:spacing w:beforeLines="0" w:after="0" w:afterLines="0"/>
              <w:jc w:val="center"/>
              <w:textAlignment w:val="center"/>
              <w:rPr>
                <w:sz w:val="18"/>
                <w:szCs w:val="18"/>
              </w:rPr>
            </w:pPr>
            <w:r>
              <w:rPr>
                <w:kern w:val="0"/>
                <w:sz w:val="18"/>
                <w:szCs w:val="18"/>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7" w:hRule="atLeast"/>
          <w:jc w:val="center"/>
        </w:trPr>
        <w:tc>
          <w:tcPr>
            <w:tcW w:w="2554" w:type="dxa"/>
            <w:shd w:val="clear" w:color="auto" w:fill="auto"/>
            <w:tcMar>
              <w:top w:w="12" w:type="dxa"/>
              <w:left w:w="12" w:type="dxa"/>
              <w:right w:w="12" w:type="dxa"/>
            </w:tcMar>
            <w:vAlign w:val="center"/>
          </w:tcPr>
          <w:p>
            <w:pPr>
              <w:spacing w:beforeLines="0" w:after="0" w:afterLines="0"/>
              <w:jc w:val="center"/>
              <w:textAlignment w:val="center"/>
              <w:rPr>
                <w:bCs/>
                <w:color w:val="000000"/>
                <w:sz w:val="18"/>
                <w:szCs w:val="18"/>
              </w:rPr>
            </w:pPr>
            <w:r>
              <w:rPr>
                <w:bCs/>
                <w:color w:val="000000"/>
                <w:kern w:val="0"/>
                <w:sz w:val="18"/>
                <w:szCs w:val="18"/>
              </w:rPr>
              <w:t>Mean UE Throughput (Mbps)</w:t>
            </w:r>
          </w:p>
        </w:tc>
        <w:tc>
          <w:tcPr>
            <w:tcW w:w="1544" w:type="dxa"/>
            <w:shd w:val="clear" w:color="auto" w:fill="auto"/>
            <w:noWrap/>
            <w:tcMar>
              <w:top w:w="12" w:type="dxa"/>
              <w:left w:w="12" w:type="dxa"/>
              <w:right w:w="12" w:type="dxa"/>
            </w:tcMar>
            <w:vAlign w:val="center"/>
          </w:tcPr>
          <w:p>
            <w:pPr>
              <w:spacing w:beforeLines="0" w:after="0" w:afterLines="0"/>
              <w:jc w:val="center"/>
              <w:textAlignment w:val="center"/>
              <w:rPr>
                <w:color w:val="000000"/>
                <w:sz w:val="18"/>
                <w:szCs w:val="18"/>
              </w:rPr>
            </w:pPr>
            <w:r>
              <w:rPr>
                <w:color w:val="000000"/>
                <w:kern w:val="0"/>
                <w:sz w:val="18"/>
                <w:szCs w:val="18"/>
              </w:rPr>
              <w:t>398.72895</w:t>
            </w:r>
          </w:p>
        </w:tc>
        <w:tc>
          <w:tcPr>
            <w:tcW w:w="1716" w:type="dxa"/>
            <w:shd w:val="clear" w:color="auto" w:fill="auto"/>
            <w:noWrap/>
            <w:tcMar>
              <w:top w:w="12" w:type="dxa"/>
              <w:left w:w="12" w:type="dxa"/>
              <w:right w:w="12" w:type="dxa"/>
            </w:tcMar>
            <w:vAlign w:val="center"/>
          </w:tcPr>
          <w:p>
            <w:pPr>
              <w:spacing w:beforeLines="0" w:after="0" w:afterLines="0"/>
              <w:jc w:val="center"/>
              <w:textAlignment w:val="center"/>
              <w:rPr>
                <w:color w:val="000000"/>
                <w:sz w:val="18"/>
                <w:szCs w:val="18"/>
              </w:rPr>
            </w:pPr>
            <w:r>
              <w:rPr>
                <w:color w:val="000000"/>
                <w:kern w:val="0"/>
                <w:sz w:val="18"/>
                <w:szCs w:val="18"/>
              </w:rPr>
              <w:t>365.90435</w:t>
            </w:r>
          </w:p>
        </w:tc>
        <w:tc>
          <w:tcPr>
            <w:tcW w:w="1134" w:type="dxa"/>
            <w:shd w:val="clear" w:color="auto" w:fill="auto"/>
            <w:noWrap/>
            <w:tcMar>
              <w:top w:w="12" w:type="dxa"/>
              <w:left w:w="12" w:type="dxa"/>
              <w:right w:w="12" w:type="dxa"/>
            </w:tcMar>
            <w:vAlign w:val="center"/>
          </w:tcPr>
          <w:p>
            <w:pPr>
              <w:spacing w:beforeLines="0" w:after="0" w:afterLines="0"/>
              <w:jc w:val="center"/>
              <w:textAlignment w:val="center"/>
              <w:rPr>
                <w:sz w:val="18"/>
                <w:szCs w:val="18"/>
              </w:rPr>
            </w:pPr>
            <w:r>
              <w:rPr>
                <w:kern w:val="0"/>
                <w:sz w:val="18"/>
                <w:szCs w:val="18"/>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1" w:hRule="atLeast"/>
          <w:jc w:val="center"/>
        </w:trPr>
        <w:tc>
          <w:tcPr>
            <w:tcW w:w="2554" w:type="dxa"/>
            <w:shd w:val="clear" w:color="auto" w:fill="auto"/>
            <w:tcMar>
              <w:top w:w="12" w:type="dxa"/>
              <w:left w:w="12" w:type="dxa"/>
              <w:right w:w="12" w:type="dxa"/>
            </w:tcMar>
            <w:vAlign w:val="center"/>
          </w:tcPr>
          <w:p>
            <w:pPr>
              <w:spacing w:beforeLines="0" w:after="0" w:afterLines="0"/>
              <w:jc w:val="center"/>
              <w:textAlignment w:val="center"/>
              <w:rPr>
                <w:bCs/>
                <w:color w:val="000000"/>
                <w:sz w:val="18"/>
                <w:szCs w:val="18"/>
              </w:rPr>
            </w:pPr>
            <w:r>
              <w:rPr>
                <w:bCs/>
                <w:color w:val="000000"/>
                <w:kern w:val="0"/>
                <w:sz w:val="18"/>
                <w:szCs w:val="18"/>
              </w:rPr>
              <w:t>5% UE Throughput (Mbps)</w:t>
            </w:r>
          </w:p>
        </w:tc>
        <w:tc>
          <w:tcPr>
            <w:tcW w:w="1544" w:type="dxa"/>
            <w:shd w:val="clear" w:color="auto" w:fill="auto"/>
            <w:noWrap/>
            <w:tcMar>
              <w:top w:w="12" w:type="dxa"/>
              <w:left w:w="12" w:type="dxa"/>
              <w:right w:w="12" w:type="dxa"/>
            </w:tcMar>
            <w:vAlign w:val="center"/>
          </w:tcPr>
          <w:p>
            <w:pPr>
              <w:spacing w:beforeLines="0" w:after="0" w:afterLines="0"/>
              <w:jc w:val="center"/>
              <w:textAlignment w:val="center"/>
              <w:rPr>
                <w:color w:val="000000"/>
                <w:sz w:val="18"/>
                <w:szCs w:val="18"/>
              </w:rPr>
            </w:pPr>
            <w:r>
              <w:rPr>
                <w:color w:val="000000"/>
                <w:kern w:val="0"/>
                <w:sz w:val="18"/>
                <w:szCs w:val="18"/>
              </w:rPr>
              <w:t>169.636</w:t>
            </w:r>
          </w:p>
        </w:tc>
        <w:tc>
          <w:tcPr>
            <w:tcW w:w="1716" w:type="dxa"/>
            <w:shd w:val="clear" w:color="auto" w:fill="auto"/>
            <w:noWrap/>
            <w:tcMar>
              <w:top w:w="12" w:type="dxa"/>
              <w:left w:w="12" w:type="dxa"/>
              <w:right w:w="12" w:type="dxa"/>
            </w:tcMar>
            <w:vAlign w:val="center"/>
          </w:tcPr>
          <w:p>
            <w:pPr>
              <w:spacing w:beforeLines="0" w:after="0" w:afterLines="0"/>
              <w:jc w:val="center"/>
              <w:textAlignment w:val="center"/>
              <w:rPr>
                <w:color w:val="000000"/>
                <w:sz w:val="18"/>
                <w:szCs w:val="18"/>
              </w:rPr>
            </w:pPr>
            <w:r>
              <w:rPr>
                <w:color w:val="000000"/>
                <w:kern w:val="0"/>
                <w:sz w:val="18"/>
                <w:szCs w:val="18"/>
              </w:rPr>
              <w:t>139.84975</w:t>
            </w:r>
          </w:p>
        </w:tc>
        <w:tc>
          <w:tcPr>
            <w:tcW w:w="1134" w:type="dxa"/>
            <w:shd w:val="clear" w:color="auto" w:fill="auto"/>
            <w:noWrap/>
            <w:tcMar>
              <w:top w:w="12" w:type="dxa"/>
              <w:left w:w="12" w:type="dxa"/>
              <w:right w:w="12" w:type="dxa"/>
            </w:tcMar>
            <w:vAlign w:val="center"/>
          </w:tcPr>
          <w:p>
            <w:pPr>
              <w:spacing w:beforeLines="0" w:after="0" w:afterLines="0"/>
              <w:jc w:val="center"/>
              <w:textAlignment w:val="center"/>
              <w:rPr>
                <w:sz w:val="18"/>
                <w:szCs w:val="18"/>
              </w:rPr>
            </w:pPr>
            <w:r>
              <w:rPr>
                <w:kern w:val="0"/>
                <w:sz w:val="18"/>
                <w:szCs w:val="18"/>
              </w:rPr>
              <w:t>21.30%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5" w:hRule="atLeast"/>
          <w:jc w:val="center"/>
        </w:trPr>
        <w:tc>
          <w:tcPr>
            <w:tcW w:w="2554" w:type="dxa"/>
            <w:shd w:val="clear" w:color="auto" w:fill="auto"/>
            <w:tcMar>
              <w:top w:w="12" w:type="dxa"/>
              <w:left w:w="12" w:type="dxa"/>
              <w:right w:w="12" w:type="dxa"/>
            </w:tcMar>
            <w:vAlign w:val="center"/>
          </w:tcPr>
          <w:p>
            <w:pPr>
              <w:spacing w:beforeLines="0" w:after="0" w:afterLines="0"/>
              <w:jc w:val="center"/>
              <w:textAlignment w:val="center"/>
              <w:rPr>
                <w:bCs/>
                <w:color w:val="000000"/>
                <w:sz w:val="18"/>
                <w:szCs w:val="18"/>
              </w:rPr>
            </w:pPr>
            <w:r>
              <w:rPr>
                <w:bCs/>
                <w:color w:val="000000"/>
                <w:kern w:val="0"/>
                <w:sz w:val="18"/>
                <w:szCs w:val="18"/>
              </w:rPr>
              <w:t>50% UE Throughput (Mbps)</w:t>
            </w:r>
          </w:p>
        </w:tc>
        <w:tc>
          <w:tcPr>
            <w:tcW w:w="1544" w:type="dxa"/>
            <w:shd w:val="clear" w:color="auto" w:fill="auto"/>
            <w:noWrap/>
            <w:tcMar>
              <w:top w:w="12" w:type="dxa"/>
              <w:left w:w="12" w:type="dxa"/>
              <w:right w:w="12" w:type="dxa"/>
            </w:tcMar>
            <w:vAlign w:val="center"/>
          </w:tcPr>
          <w:p>
            <w:pPr>
              <w:spacing w:beforeLines="0" w:after="0" w:afterLines="0"/>
              <w:jc w:val="center"/>
              <w:textAlignment w:val="center"/>
              <w:rPr>
                <w:color w:val="000000"/>
                <w:sz w:val="18"/>
                <w:szCs w:val="18"/>
              </w:rPr>
            </w:pPr>
            <w:r>
              <w:rPr>
                <w:color w:val="000000"/>
                <w:kern w:val="0"/>
                <w:sz w:val="18"/>
                <w:szCs w:val="18"/>
              </w:rPr>
              <w:t>360.5818</w:t>
            </w:r>
          </w:p>
        </w:tc>
        <w:tc>
          <w:tcPr>
            <w:tcW w:w="1716" w:type="dxa"/>
            <w:shd w:val="clear" w:color="auto" w:fill="auto"/>
            <w:noWrap/>
            <w:tcMar>
              <w:top w:w="12" w:type="dxa"/>
              <w:left w:w="12" w:type="dxa"/>
              <w:right w:w="12" w:type="dxa"/>
            </w:tcMar>
            <w:vAlign w:val="center"/>
          </w:tcPr>
          <w:p>
            <w:pPr>
              <w:spacing w:beforeLines="0" w:after="0" w:afterLines="0"/>
              <w:jc w:val="center"/>
              <w:textAlignment w:val="center"/>
              <w:rPr>
                <w:color w:val="000000"/>
                <w:sz w:val="18"/>
                <w:szCs w:val="18"/>
              </w:rPr>
            </w:pPr>
            <w:r>
              <w:rPr>
                <w:color w:val="000000"/>
                <w:kern w:val="0"/>
                <w:sz w:val="18"/>
                <w:szCs w:val="18"/>
              </w:rPr>
              <w:t>323.7501</w:t>
            </w:r>
          </w:p>
        </w:tc>
        <w:tc>
          <w:tcPr>
            <w:tcW w:w="1134" w:type="dxa"/>
            <w:shd w:val="clear" w:color="auto" w:fill="auto"/>
            <w:noWrap/>
            <w:tcMar>
              <w:top w:w="12" w:type="dxa"/>
              <w:left w:w="12" w:type="dxa"/>
              <w:right w:w="12" w:type="dxa"/>
            </w:tcMar>
            <w:vAlign w:val="center"/>
          </w:tcPr>
          <w:p>
            <w:pPr>
              <w:spacing w:beforeLines="0" w:after="0" w:afterLines="0"/>
              <w:jc w:val="center"/>
              <w:textAlignment w:val="center"/>
              <w:rPr>
                <w:sz w:val="18"/>
                <w:szCs w:val="18"/>
              </w:rPr>
            </w:pPr>
            <w:r>
              <w:rPr>
                <w:kern w:val="0"/>
                <w:sz w:val="18"/>
                <w:szCs w:val="18"/>
              </w:rPr>
              <w:t>11.38%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 w:hRule="atLeast"/>
          <w:jc w:val="center"/>
        </w:trPr>
        <w:tc>
          <w:tcPr>
            <w:tcW w:w="2554" w:type="dxa"/>
            <w:shd w:val="clear" w:color="auto" w:fill="auto"/>
            <w:tcMar>
              <w:top w:w="12" w:type="dxa"/>
              <w:left w:w="12" w:type="dxa"/>
              <w:right w:w="12" w:type="dxa"/>
            </w:tcMar>
            <w:vAlign w:val="center"/>
          </w:tcPr>
          <w:p>
            <w:pPr>
              <w:spacing w:beforeLines="0" w:after="0" w:afterLines="0"/>
              <w:jc w:val="center"/>
              <w:textAlignment w:val="center"/>
              <w:rPr>
                <w:bCs/>
                <w:color w:val="000000"/>
                <w:sz w:val="18"/>
                <w:szCs w:val="18"/>
              </w:rPr>
            </w:pPr>
            <w:r>
              <w:rPr>
                <w:bCs/>
                <w:color w:val="000000"/>
                <w:kern w:val="0"/>
                <w:sz w:val="18"/>
                <w:szCs w:val="18"/>
              </w:rPr>
              <w:t>95% UE Throughput (Mbps)</w:t>
            </w:r>
          </w:p>
        </w:tc>
        <w:tc>
          <w:tcPr>
            <w:tcW w:w="1544" w:type="dxa"/>
            <w:shd w:val="clear" w:color="auto" w:fill="auto"/>
            <w:noWrap/>
            <w:tcMar>
              <w:top w:w="12" w:type="dxa"/>
              <w:left w:w="12" w:type="dxa"/>
              <w:right w:w="12" w:type="dxa"/>
            </w:tcMar>
            <w:vAlign w:val="center"/>
          </w:tcPr>
          <w:p>
            <w:pPr>
              <w:spacing w:beforeLines="0" w:after="0" w:afterLines="0"/>
              <w:jc w:val="center"/>
              <w:textAlignment w:val="center"/>
              <w:rPr>
                <w:color w:val="000000"/>
                <w:sz w:val="18"/>
                <w:szCs w:val="18"/>
              </w:rPr>
            </w:pPr>
            <w:r>
              <w:rPr>
                <w:color w:val="000000"/>
                <w:kern w:val="0"/>
                <w:sz w:val="18"/>
                <w:szCs w:val="18"/>
              </w:rPr>
              <w:t>743.27905</w:t>
            </w:r>
          </w:p>
        </w:tc>
        <w:tc>
          <w:tcPr>
            <w:tcW w:w="1716" w:type="dxa"/>
            <w:shd w:val="clear" w:color="auto" w:fill="auto"/>
            <w:noWrap/>
            <w:tcMar>
              <w:top w:w="12" w:type="dxa"/>
              <w:left w:w="12" w:type="dxa"/>
              <w:right w:w="12" w:type="dxa"/>
            </w:tcMar>
            <w:vAlign w:val="center"/>
          </w:tcPr>
          <w:p>
            <w:pPr>
              <w:spacing w:beforeLines="0" w:after="0" w:afterLines="0"/>
              <w:jc w:val="center"/>
              <w:textAlignment w:val="center"/>
              <w:rPr>
                <w:color w:val="000000"/>
                <w:sz w:val="18"/>
                <w:szCs w:val="18"/>
              </w:rPr>
            </w:pPr>
            <w:r>
              <w:rPr>
                <w:color w:val="000000"/>
                <w:kern w:val="0"/>
                <w:sz w:val="18"/>
                <w:szCs w:val="18"/>
              </w:rPr>
              <w:t>701.78005</w:t>
            </w:r>
          </w:p>
        </w:tc>
        <w:tc>
          <w:tcPr>
            <w:tcW w:w="1134" w:type="dxa"/>
            <w:shd w:val="clear" w:color="auto" w:fill="auto"/>
            <w:noWrap/>
            <w:tcMar>
              <w:top w:w="12" w:type="dxa"/>
              <w:left w:w="12" w:type="dxa"/>
              <w:right w:w="12" w:type="dxa"/>
            </w:tcMar>
            <w:vAlign w:val="center"/>
          </w:tcPr>
          <w:p>
            <w:pPr>
              <w:spacing w:beforeLines="0" w:after="0" w:afterLines="0"/>
              <w:jc w:val="center"/>
              <w:textAlignment w:val="center"/>
              <w:rPr>
                <w:sz w:val="18"/>
                <w:szCs w:val="18"/>
              </w:rPr>
            </w:pPr>
            <w:r>
              <w:rPr>
                <w:kern w:val="0"/>
                <w:sz w:val="18"/>
                <w:szCs w:val="18"/>
              </w:rPr>
              <w:t>5.91%</w:t>
            </w:r>
          </w:p>
        </w:tc>
      </w:tr>
    </w:tbl>
    <w:p>
      <w:pPr>
        <w:spacing w:before="120" w:after="120"/>
      </w:pPr>
      <w:bookmarkStart w:id="38" w:name="_GoBack"/>
      <w:bookmarkEnd w:id="38"/>
    </w:p>
    <w:p>
      <w:pPr>
        <w:pStyle w:val="50"/>
        <w:spacing w:before="120" w:after="120"/>
        <w:jc w:val="both"/>
        <w:rPr>
          <w:lang w:val="en-US" w:eastAsia="zh-CN"/>
        </w:rPr>
      </w:pPr>
      <w:bookmarkStart w:id="29" w:name="_Toc87003960"/>
      <w:bookmarkStart w:id="30" w:name="_Toc23965"/>
      <w:r>
        <w:rPr>
          <w:rFonts w:hint="eastAsia"/>
          <w:lang w:val="en-US" w:eastAsia="zh-CN"/>
        </w:rPr>
        <w:t>Compared with PDCP duplication, network coding improves the system mean throughput by 8.97%, and improves the 5% UE throughput by 21.3%.</w:t>
      </w:r>
      <w:bookmarkEnd w:id="29"/>
      <w:bookmarkEnd w:id="30"/>
    </w:p>
    <w:p>
      <w:pPr>
        <w:pStyle w:val="53"/>
        <w:spacing w:before="120" w:after="120"/>
        <w:rPr>
          <w:lang w:val="en-US" w:eastAsia="zh-CN"/>
        </w:rPr>
      </w:pPr>
      <w:r>
        <w:rPr>
          <w:lang w:val="en-US" w:eastAsia="zh-CN"/>
        </w:rPr>
        <w:t xml:space="preserve"> </w:t>
      </w:r>
      <w:bookmarkStart w:id="31" w:name="_Toc27079"/>
      <w:r>
        <w:rPr>
          <w:rFonts w:hint="eastAsia"/>
          <w:lang w:val="en-US" w:eastAsia="zh-CN"/>
        </w:rPr>
        <w:t>Network coding</w:t>
      </w:r>
      <w:r>
        <w:rPr>
          <w:rFonts w:hint="eastAsia" w:eastAsia="宋体"/>
          <w:lang w:val="en-US" w:eastAsia="zh-CN"/>
        </w:rPr>
        <w:t xml:space="preserve"> </w:t>
      </w:r>
      <w:r>
        <w:rPr>
          <w:rFonts w:hint="eastAsia"/>
          <w:lang w:val="en-US" w:eastAsia="zh-CN"/>
        </w:rPr>
        <w:t xml:space="preserve">techniques </w:t>
      </w:r>
      <w:r>
        <w:rPr>
          <w:lang w:val="en-US" w:eastAsia="zh-CN"/>
        </w:rPr>
        <w:t>should be</w:t>
      </w:r>
      <w:r>
        <w:rPr>
          <w:rFonts w:hint="eastAsia"/>
          <w:lang w:val="en-US" w:eastAsia="zh-CN"/>
        </w:rPr>
        <w:t xml:space="preserve"> </w:t>
      </w:r>
      <w:r>
        <w:rPr>
          <w:lang w:val="en-US" w:eastAsia="zh-CN"/>
        </w:rPr>
        <w:t>considered</w:t>
      </w:r>
      <w:r>
        <w:rPr>
          <w:rFonts w:hint="eastAsia"/>
          <w:lang w:val="en-US" w:eastAsia="zh-CN"/>
        </w:rPr>
        <w:t xml:space="preserve"> for XR service transmission to improve capacity performance.</w:t>
      </w:r>
      <w:bookmarkEnd w:id="31"/>
      <w:r>
        <w:rPr>
          <w:rFonts w:hint="eastAsia"/>
          <w:lang w:val="en-US" w:eastAsia="zh-CN"/>
        </w:rPr>
        <w:t xml:space="preserve"> </w:t>
      </w:r>
    </w:p>
    <w:p>
      <w:pPr>
        <w:pStyle w:val="50"/>
        <w:numPr>
          <w:ilvl w:val="0"/>
          <w:numId w:val="0"/>
        </w:numPr>
        <w:tabs>
          <w:tab w:val="clear" w:pos="0"/>
        </w:tabs>
        <w:spacing w:before="120" w:after="120"/>
        <w:jc w:val="both"/>
        <w:rPr>
          <w:lang w:val="en-US" w:eastAsia="zh-CN"/>
        </w:rPr>
      </w:pPr>
    </w:p>
    <w:p>
      <w:pPr>
        <w:pStyle w:val="2"/>
        <w:spacing w:before="120" w:after="120"/>
        <w:ind w:left="0"/>
        <w:rPr>
          <w:rFonts w:eastAsia="宋体"/>
        </w:rPr>
      </w:pPr>
      <w:r>
        <w:rPr>
          <w:rFonts w:eastAsia="宋体"/>
        </w:rPr>
        <w:t>Conclusion</w:t>
      </w:r>
    </w:p>
    <w:p>
      <w:pPr>
        <w:spacing w:before="120" w:after="120"/>
      </w:pPr>
      <w:r>
        <w:rPr>
          <w:rFonts w:hint="eastAsia"/>
        </w:rPr>
        <w:t>In this contribution, we have the following observations/proposals:</w:t>
      </w:r>
    </w:p>
    <w:p>
      <w:pPr>
        <w:pStyle w:val="13"/>
        <w:tabs>
          <w:tab w:val="right" w:leader="dot" w:pos="9660"/>
          <w:tab w:val="clear" w:pos="0"/>
        </w:tabs>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rPr>
          <w:szCs w:val="22"/>
        </w:rPr>
        <w:fldChar w:fldCharType="begin"/>
      </w:r>
      <w:r>
        <w:rPr>
          <w:szCs w:val="22"/>
        </w:rPr>
        <w:instrText xml:space="preserve"> HYPERLINK \l _Toc3798 </w:instrText>
      </w:r>
      <w:r>
        <w:rPr>
          <w:szCs w:val="22"/>
        </w:rPr>
        <w:fldChar w:fldCharType="separate"/>
      </w:r>
      <w:r>
        <w:rPr>
          <w:rFonts w:hint="default" w:ascii="Times New Roman" w:hAnsi="Times New Roman" w:eastAsia="宋体" w:cs="Times New Roman"/>
          <w:bCs/>
          <w:i/>
          <w:iCs/>
          <w:lang w:val="en-US" w:eastAsia="zh-CN"/>
        </w:rPr>
        <w:t xml:space="preserve">Observation 1: </w:t>
      </w:r>
      <w:r>
        <w:rPr>
          <w:lang w:val="en-US" w:eastAsia="zh-CN"/>
        </w:rPr>
        <w:t xml:space="preserve">Given the advantages of </w:t>
      </w:r>
      <w:r>
        <w:rPr>
          <w:rFonts w:hint="eastAsia"/>
        </w:rPr>
        <w:t>reduc</w:t>
      </w:r>
      <w:r>
        <w:t>ing</w:t>
      </w:r>
      <w:r>
        <w:rPr>
          <w:rFonts w:hint="eastAsia"/>
        </w:rPr>
        <w:t xml:space="preserve"> transmission latency and sav</w:t>
      </w:r>
      <w:r>
        <w:t>ing</w:t>
      </w:r>
      <w:r>
        <w:rPr>
          <w:rFonts w:hint="eastAsia"/>
        </w:rPr>
        <w:t xml:space="preserve"> overhead of downlink control </w:t>
      </w:r>
      <w:r>
        <w:t xml:space="preserve">signaling, </w:t>
      </w:r>
      <w:r>
        <w:rPr>
          <w:rFonts w:hint="eastAsia"/>
        </w:rPr>
        <w:t xml:space="preserve">SPS </w:t>
      </w:r>
      <w:r>
        <w:t>mechanism</w:t>
      </w:r>
      <w:r>
        <w:rPr>
          <w:rFonts w:hint="eastAsia"/>
        </w:rPr>
        <w:t xml:space="preserve"> </w:t>
      </w:r>
      <w:r>
        <w:t>can be considered to be applied in XR traffic.</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_Toc2805 </w:instrText>
      </w:r>
      <w:r>
        <w:rPr>
          <w:szCs w:val="22"/>
        </w:rPr>
        <w:fldChar w:fldCharType="separate"/>
      </w:r>
      <w:r>
        <w:rPr>
          <w:rFonts w:hint="default" w:ascii="Times New Roman" w:hAnsi="Times New Roman" w:eastAsia="宋体" w:cs="Times New Roman"/>
          <w:bCs/>
          <w:i/>
          <w:iCs/>
          <w:lang w:val="en-US" w:eastAsia="zh-CN"/>
        </w:rPr>
        <w:t xml:space="preserve">Observation 2: </w:t>
      </w:r>
      <w:r>
        <w:rPr>
          <w:lang w:val="en-US" w:eastAsia="zh-CN"/>
        </w:rPr>
        <w:t>SPS transmission encounters three problems to be solved: low resource utilization, excessive power consumption due to blind detection of redundant PDSCH</w:t>
      </w:r>
      <w:r>
        <w:rPr>
          <w:rFonts w:hint="eastAsia"/>
          <w:lang w:val="en-US" w:eastAsia="zh-CN"/>
        </w:rPr>
        <w:t xml:space="preserve"> and p</w:t>
      </w:r>
      <w:r>
        <w:rPr>
          <w:rFonts w:hint="eastAsia"/>
        </w:rPr>
        <w:t>eriodicity</w:t>
      </w:r>
      <w:r>
        <w:t xml:space="preserve"> misalignment</w:t>
      </w:r>
      <w:r>
        <w:rPr>
          <w:lang w:val="en-US" w:eastAsia="zh-CN"/>
        </w:rPr>
        <w:t>.</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_Toc785 </w:instrText>
      </w:r>
      <w:r>
        <w:rPr>
          <w:szCs w:val="22"/>
        </w:rPr>
        <w:fldChar w:fldCharType="separate"/>
      </w:r>
      <w:r>
        <w:rPr>
          <w:rFonts w:hint="default" w:ascii="Times New Roman" w:hAnsi="Times New Roman" w:eastAsia="宋体" w:cs="Times New Roman"/>
          <w:bCs/>
          <w:i/>
          <w:iCs/>
          <w:lang w:val="en-US" w:eastAsia="zh-CN"/>
        </w:rPr>
        <w:t xml:space="preserve">Observation 3: </w:t>
      </w:r>
      <w:r>
        <w:rPr>
          <w:rFonts w:hint="eastAsia"/>
          <w:lang w:val="en-US" w:eastAsia="zh-CN"/>
        </w:rPr>
        <w:t>Compared to legacy SPS, MCS update techniques are</w:t>
      </w:r>
      <w:r>
        <w:rPr>
          <w:lang w:val="en-US" w:eastAsia="zh-CN"/>
        </w:rPr>
        <w:t xml:space="preserve"> beneficial</w:t>
      </w:r>
      <w:r>
        <w:rPr>
          <w:rFonts w:hint="eastAsia"/>
          <w:lang w:val="en-US" w:eastAsia="zh-CN"/>
        </w:rPr>
        <w:t xml:space="preserve"> to increase resource utilization, which results in capacity performance enhancement.</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_Toc21054 </w:instrText>
      </w:r>
      <w:r>
        <w:rPr>
          <w:szCs w:val="22"/>
        </w:rPr>
        <w:fldChar w:fldCharType="separate"/>
      </w:r>
      <w:r>
        <w:rPr>
          <w:rFonts w:hint="default" w:ascii="Times New Roman" w:hAnsi="Times New Roman" w:eastAsia="宋体" w:cs="Times New Roman"/>
          <w:bCs/>
          <w:i/>
          <w:iCs/>
          <w:lang w:val="en-US" w:eastAsia="zh-CN"/>
        </w:rPr>
        <w:t xml:space="preserve">Observation 4: </w:t>
      </w:r>
      <w:r>
        <w:rPr>
          <w:rFonts w:hint="eastAsia"/>
          <w:lang w:val="en-US" w:eastAsia="zh-CN"/>
        </w:rPr>
        <w:t>Unused resources release techniques help UE save power consumption from blind SPS PDSCH detection.</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_Toc1894 </w:instrText>
      </w:r>
      <w:r>
        <w:rPr>
          <w:szCs w:val="22"/>
        </w:rPr>
        <w:fldChar w:fldCharType="separate"/>
      </w:r>
      <w:r>
        <w:rPr>
          <w:rFonts w:hint="default" w:ascii="Times New Roman" w:hAnsi="Times New Roman" w:eastAsia="宋体" w:cs="Times New Roman"/>
          <w:bCs/>
          <w:i/>
          <w:iCs/>
          <w:lang w:val="en-US"/>
        </w:rPr>
        <w:t xml:space="preserve">Observation 5: </w:t>
      </w:r>
      <w:r>
        <w:rPr>
          <w:rFonts w:hint="eastAsia"/>
          <w:lang w:val="en-US" w:eastAsia="zh-CN"/>
        </w:rPr>
        <w:t xml:space="preserve">Current CG transmission is suitable for Pose/Control traffic </w:t>
      </w:r>
      <w:r>
        <w:rPr>
          <w:lang w:val="en-US" w:eastAsia="zh-CN"/>
        </w:rPr>
        <w:t>transmission</w:t>
      </w:r>
      <w:r>
        <w:rPr>
          <w:rFonts w:hint="eastAsia"/>
          <w:lang w:val="en-US" w:eastAsia="zh-CN"/>
        </w:rPr>
        <w:t>.</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_Toc25683 </w:instrText>
      </w:r>
      <w:r>
        <w:rPr>
          <w:szCs w:val="22"/>
        </w:rPr>
        <w:fldChar w:fldCharType="separate"/>
      </w:r>
      <w:r>
        <w:rPr>
          <w:rFonts w:hint="default" w:ascii="Times New Roman" w:hAnsi="Times New Roman" w:eastAsia="宋体" w:cs="Times New Roman"/>
          <w:bCs/>
          <w:i/>
          <w:iCs/>
          <w:lang w:val="en-US" w:eastAsia="zh-CN"/>
        </w:rPr>
        <w:t xml:space="preserve">Observation 6: </w:t>
      </w:r>
      <w:r>
        <w:rPr>
          <w:rFonts w:hint="eastAsia"/>
          <w:lang w:val="en-US" w:eastAsia="zh-CN"/>
        </w:rPr>
        <w:t xml:space="preserve">Three </w:t>
      </w:r>
      <w:r>
        <w:rPr>
          <w:lang w:val="en-US" w:eastAsia="zh-CN"/>
        </w:rPr>
        <w:t xml:space="preserve">problems for CG transmission are identified: low resource utilization, </w:t>
      </w:r>
      <w:r>
        <w:t>Inter-UE resource collision</w:t>
      </w:r>
      <w:r>
        <w:rPr>
          <w:rFonts w:hint="eastAsia"/>
          <w:lang w:val="en-US" w:eastAsia="zh-CN"/>
        </w:rPr>
        <w:t xml:space="preserve"> and p</w:t>
      </w:r>
      <w:r>
        <w:rPr>
          <w:rFonts w:hint="eastAsia"/>
        </w:rPr>
        <w:t>eriodicity</w:t>
      </w:r>
      <w:r>
        <w:t xml:space="preserve"> misalignment</w:t>
      </w:r>
      <w:r>
        <w:rPr>
          <w:lang w:val="en-US" w:eastAsia="zh-CN"/>
        </w:rPr>
        <w:t>.</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_Toc27406 </w:instrText>
      </w:r>
      <w:r>
        <w:rPr>
          <w:szCs w:val="22"/>
        </w:rPr>
        <w:fldChar w:fldCharType="separate"/>
      </w:r>
      <w:r>
        <w:rPr>
          <w:rFonts w:hint="default" w:ascii="Times New Roman" w:hAnsi="Times New Roman" w:eastAsia="宋体" w:cs="Times New Roman"/>
          <w:bCs/>
          <w:i/>
          <w:iCs/>
          <w:lang w:val="en-US"/>
        </w:rPr>
        <w:t xml:space="preserve">Observation 7: </w:t>
      </w:r>
      <w:r>
        <w:rPr>
          <w:rFonts w:hint="eastAsia"/>
          <w:lang w:val="en-US" w:eastAsia="zh-CN"/>
        </w:rPr>
        <w:t>Multiple CG configurations with resource release and resource indication can provide capacity performance gain compared to legacy multiple CG configurations.</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_Toc1608 </w:instrText>
      </w:r>
      <w:r>
        <w:rPr>
          <w:szCs w:val="22"/>
        </w:rPr>
        <w:fldChar w:fldCharType="separate"/>
      </w:r>
      <w:r>
        <w:rPr>
          <w:rFonts w:hint="default" w:ascii="Times New Roman" w:hAnsi="Times New Roman" w:eastAsia="宋体" w:cs="Times New Roman"/>
          <w:bCs/>
          <w:i/>
          <w:iCs/>
          <w:lang w:val="en-US" w:eastAsia="zh-CN"/>
        </w:rPr>
        <w:t xml:space="preserve">Observation 8: </w:t>
      </w:r>
      <w:r>
        <w:rPr>
          <w:rFonts w:hint="eastAsia" w:eastAsia="宋体"/>
          <w:lang w:val="en-US" w:eastAsia="zh-CN"/>
        </w:rPr>
        <w:t>For both 10Mbps@60fps traffic model and 20Mbps@60fps traffic, more than a half proportion of packet sizes are overestimated using BS level table in [3].</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_Toc20102 </w:instrText>
      </w:r>
      <w:r>
        <w:rPr>
          <w:szCs w:val="22"/>
        </w:rPr>
        <w:fldChar w:fldCharType="separate"/>
      </w:r>
      <w:r>
        <w:rPr>
          <w:rFonts w:hint="default" w:ascii="Times New Roman" w:hAnsi="Times New Roman" w:eastAsia="宋体" w:cs="Times New Roman"/>
          <w:bCs/>
          <w:i/>
          <w:iCs/>
          <w:szCs w:val="21"/>
          <w:lang w:val="en-US" w:eastAsia="zh-CN"/>
        </w:rPr>
        <w:t xml:space="preserve">Observation 9: </w:t>
      </w:r>
      <w:r>
        <w:rPr>
          <w:rFonts w:hint="eastAsia" w:eastAsia="宋体"/>
          <w:lang w:val="en-US" w:eastAsia="zh-CN"/>
        </w:rPr>
        <w:t xml:space="preserve">In uplink transmission, overestimated packet sizes may cause capacity performance loss. </w:t>
      </w:r>
      <w:r>
        <w:rPr>
          <w:rFonts w:eastAsia="宋体"/>
          <w:lang w:val="en-US" w:eastAsia="zh-CN"/>
        </w:rPr>
        <w:t>And</w:t>
      </w:r>
      <w:r>
        <w:rPr>
          <w:rFonts w:hint="eastAsia" w:eastAsia="宋体"/>
          <w:lang w:val="en-US" w:eastAsia="zh-CN"/>
        </w:rPr>
        <w:t xml:space="preserve"> uplink transmission with precise BSR indication can bring capacity performance gain.</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_Toc28540 </w:instrText>
      </w:r>
      <w:r>
        <w:rPr>
          <w:szCs w:val="22"/>
        </w:rPr>
        <w:fldChar w:fldCharType="separate"/>
      </w:r>
      <w:r>
        <w:rPr>
          <w:rFonts w:hint="default" w:ascii="Times New Roman" w:hAnsi="Times New Roman" w:eastAsia="宋体" w:cs="Times New Roman"/>
          <w:bCs/>
          <w:i/>
          <w:iCs/>
          <w:lang w:val="en-US" w:eastAsia="zh-CN"/>
        </w:rPr>
        <w:t xml:space="preserve">Observation 10: </w:t>
      </w:r>
      <w:r>
        <w:rPr>
          <w:rFonts w:hint="eastAsia" w:eastAsia="宋体"/>
          <w:lang w:val="en-US" w:eastAsia="zh-CN"/>
        </w:rPr>
        <w:t>Delta MCS information for re-transmission is capable of increasing significantly XR capacity performance.</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_Toc2365 </w:instrText>
      </w:r>
      <w:r>
        <w:rPr>
          <w:szCs w:val="22"/>
        </w:rPr>
        <w:fldChar w:fldCharType="separate"/>
      </w:r>
      <w:r>
        <w:rPr>
          <w:rFonts w:hint="default" w:ascii="Times New Roman" w:hAnsi="Times New Roman" w:eastAsia="宋体" w:cs="Times New Roman"/>
          <w:bCs/>
          <w:i/>
          <w:iCs/>
          <w:lang w:val="en-US" w:eastAsia="zh-CN"/>
        </w:rPr>
        <w:t xml:space="preserve">Observation 11: </w:t>
      </w:r>
      <w:r>
        <w:rPr>
          <w:rFonts w:hint="eastAsia" w:eastAsia="宋体"/>
          <w:lang w:val="en-US" w:eastAsia="zh-CN"/>
        </w:rPr>
        <w:t>The delta MCS value is relatively small, so that the overhead of signaling can be reduced.</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_Toc18687 </w:instrText>
      </w:r>
      <w:r>
        <w:rPr>
          <w:szCs w:val="22"/>
        </w:rPr>
        <w:fldChar w:fldCharType="separate"/>
      </w:r>
      <w:r>
        <w:rPr>
          <w:rFonts w:hint="default" w:ascii="Times New Roman" w:hAnsi="Times New Roman" w:eastAsia="宋体" w:cs="Times New Roman"/>
          <w:bCs/>
          <w:i/>
          <w:iCs/>
          <w:lang w:val="en-US" w:eastAsia="zh-CN"/>
        </w:rPr>
        <w:t xml:space="preserve">Observation 12: </w:t>
      </w:r>
      <w:r>
        <w:rPr>
          <w:rFonts w:hint="eastAsia" w:eastAsia="宋体"/>
          <w:lang w:val="en-US" w:eastAsia="zh-CN"/>
        </w:rPr>
        <w:t>Enhanced preemption indication is capable of enhancing capacity performance when multi-streams model is considered in the system</w:t>
      </w:r>
      <w:r>
        <w:rPr>
          <w:rFonts w:hint="eastAsia"/>
          <w:lang w:val="en-US" w:eastAsia="zh-CN"/>
        </w:rPr>
        <w:t>.</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_Toc6619 </w:instrText>
      </w:r>
      <w:r>
        <w:rPr>
          <w:szCs w:val="22"/>
        </w:rPr>
        <w:fldChar w:fldCharType="separate"/>
      </w:r>
      <w:r>
        <w:rPr>
          <w:rFonts w:hint="default" w:ascii="Times New Roman" w:hAnsi="Times New Roman" w:eastAsia="宋体" w:cs="Times New Roman"/>
          <w:bCs/>
          <w:i/>
          <w:iCs/>
          <w:lang w:val="en-US"/>
        </w:rPr>
        <w:t xml:space="preserve">Observation 13: </w:t>
      </w:r>
      <w:r>
        <w:rPr>
          <w:rFonts w:hint="eastAsia" w:eastAsia="宋体"/>
          <w:lang w:val="en-US" w:eastAsia="zh-CN"/>
        </w:rPr>
        <w:t>Network coding technique is capable of enhancing the reliability of transmission.</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_Toc4428 </w:instrText>
      </w:r>
      <w:r>
        <w:rPr>
          <w:szCs w:val="22"/>
        </w:rPr>
        <w:fldChar w:fldCharType="separate"/>
      </w:r>
      <w:r>
        <w:rPr>
          <w:rFonts w:hint="default" w:ascii="Times New Roman" w:hAnsi="Times New Roman" w:eastAsia="宋体" w:cs="Times New Roman"/>
          <w:bCs/>
          <w:i/>
          <w:iCs/>
          <w:lang w:val="en-US" w:eastAsia="zh-CN"/>
        </w:rPr>
        <w:t xml:space="preserve">Observation 14: </w:t>
      </w:r>
      <w:r>
        <w:rPr>
          <w:lang w:val="en-US" w:eastAsia="zh-CN"/>
        </w:rPr>
        <w:t xml:space="preserve">For </w:t>
      </w:r>
      <w:r>
        <w:rPr>
          <w:rFonts w:hint="eastAsia"/>
          <w:lang w:val="en-US" w:eastAsia="zh-CN"/>
        </w:rPr>
        <w:t>3</w:t>
      </w:r>
      <w:r>
        <w:rPr>
          <w:lang w:val="en-US" w:eastAsia="zh-CN"/>
        </w:rPr>
        <w:t xml:space="preserve">0Mbps@60fps, capacity performance is increased about [12.66%] with </w:t>
      </w:r>
      <w:r>
        <w:rPr>
          <w:rFonts w:hint="eastAsia"/>
          <w:lang w:val="en-US" w:eastAsia="zh-CN"/>
        </w:rPr>
        <w:t>network coding</w:t>
      </w:r>
      <w:r>
        <w:rPr>
          <w:lang w:val="en-US" w:eastAsia="zh-CN"/>
        </w:rPr>
        <w:t xml:space="preserve"> for </w:t>
      </w:r>
      <w:r>
        <w:rPr>
          <w:rFonts w:hint="eastAsia"/>
          <w:lang w:val="en-US" w:eastAsia="zh-CN"/>
        </w:rPr>
        <w:t>DL VR/AR</w:t>
      </w:r>
      <w:r>
        <w:rPr>
          <w:lang w:val="en-US" w:eastAsia="zh-CN"/>
        </w:rPr>
        <w:t xml:space="preserve"> traffic model in DL FR1</w:t>
      </w:r>
      <w:r>
        <w:rPr>
          <w:rFonts w:hint="eastAsia"/>
          <w:lang w:val="en-US" w:eastAsia="zh-CN"/>
        </w:rPr>
        <w:t xml:space="preserve"> indoor</w:t>
      </w:r>
      <w:r>
        <w:rPr>
          <w:lang w:val="en-US" w:eastAsia="zh-CN"/>
        </w:rPr>
        <w:t xml:space="preserve"> scenario.</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_Toc23965 </w:instrText>
      </w:r>
      <w:r>
        <w:rPr>
          <w:szCs w:val="22"/>
        </w:rPr>
        <w:fldChar w:fldCharType="separate"/>
      </w:r>
      <w:r>
        <w:rPr>
          <w:rFonts w:hint="default" w:ascii="Times New Roman" w:hAnsi="Times New Roman" w:eastAsia="宋体" w:cs="Times New Roman"/>
          <w:bCs/>
          <w:i/>
          <w:iCs/>
          <w:lang w:val="en-US" w:eastAsia="zh-CN"/>
        </w:rPr>
        <w:t xml:space="preserve">Observation 15: </w:t>
      </w:r>
      <w:r>
        <w:rPr>
          <w:rFonts w:hint="eastAsia"/>
          <w:lang w:val="en-US" w:eastAsia="zh-CN"/>
        </w:rPr>
        <w:t>Compared with PDCP duplication, network coding improves the system mean throughput by 8.97%, and improves the 5% UE throughput by 21.3%.</w:t>
      </w:r>
      <w:r>
        <w:rPr>
          <w:szCs w:val="22"/>
        </w:rPr>
        <w:fldChar w:fldCharType="end"/>
      </w:r>
    </w:p>
    <w:p>
      <w:pPr>
        <w:spacing w:before="120" w:after="120"/>
        <w:rPr>
          <w:szCs w:val="22"/>
        </w:rPr>
      </w:pPr>
      <w:r>
        <w:rPr>
          <w:szCs w:val="22"/>
        </w:rPr>
        <w:fldChar w:fldCharType="end"/>
      </w:r>
    </w:p>
    <w:p>
      <w:pPr>
        <w:pStyle w:val="13"/>
        <w:tabs>
          <w:tab w:val="right" w:leader="dot" w:pos="9660"/>
          <w:tab w:val="clear" w:pos="0"/>
        </w:tabs>
      </w:pPr>
      <w:r>
        <w:fldChar w:fldCharType="begin"/>
      </w:r>
      <w:r>
        <w:instrText xml:space="preserve">TOC \n  \t "YJ-Proposal,1,sub-proposal,2,3rd level proposal,3" \h</w:instrText>
      </w:r>
      <w:r>
        <w:fldChar w:fldCharType="separate"/>
      </w:r>
      <w:r>
        <w:fldChar w:fldCharType="begin"/>
      </w:r>
      <w:r>
        <w:instrText xml:space="preserve"> HYPERLINK \l _Toc22048 </w:instrText>
      </w:r>
      <w:r>
        <w:fldChar w:fldCharType="separate"/>
      </w:r>
      <w:r>
        <w:rPr>
          <w:rFonts w:hint="default" w:ascii="Times New Roman" w:hAnsi="Times New Roman" w:eastAsia="宋体" w:cs="Times New Roman"/>
          <w:bCs/>
          <w:i/>
          <w:iCs/>
          <w:lang w:val="en-US" w:eastAsia="zh-CN"/>
        </w:rPr>
        <w:t xml:space="preserve">Proposal 1: </w:t>
      </w:r>
      <w:r>
        <w:rPr>
          <w:rFonts w:hint="eastAsia"/>
          <w:lang w:val="en-US" w:eastAsia="zh-CN"/>
        </w:rPr>
        <w:t xml:space="preserve">Semi-persistent scheduling enhancement techniques, including e.g., </w:t>
      </w:r>
      <w:r>
        <w:rPr>
          <w:lang w:val="en-US" w:eastAsia="zh-CN"/>
        </w:rPr>
        <w:t xml:space="preserve">indication of </w:t>
      </w:r>
      <w:r>
        <w:rPr>
          <w:rFonts w:hint="eastAsia"/>
          <w:lang w:val="en-US" w:eastAsia="zh-CN"/>
        </w:rPr>
        <w:t>unused resources and update</w:t>
      </w:r>
      <w:r>
        <w:rPr>
          <w:lang w:val="en-US" w:eastAsia="zh-CN"/>
        </w:rPr>
        <w:t>d</w:t>
      </w:r>
      <w:r>
        <w:rPr>
          <w:rFonts w:hint="eastAsia"/>
          <w:lang w:val="en-US" w:eastAsia="zh-CN"/>
        </w:rPr>
        <w:t xml:space="preserve"> MCS level can be studied for XR service transmission.</w:t>
      </w:r>
      <w:r>
        <w:fldChar w:fldCharType="end"/>
      </w:r>
    </w:p>
    <w:p>
      <w:pPr>
        <w:pStyle w:val="13"/>
        <w:tabs>
          <w:tab w:val="right" w:leader="dot" w:pos="9660"/>
          <w:tab w:val="clear" w:pos="0"/>
        </w:tabs>
      </w:pPr>
      <w:r>
        <w:fldChar w:fldCharType="begin"/>
      </w:r>
      <w:r>
        <w:instrText xml:space="preserve"> HYPERLINK \l _Toc23570 </w:instrText>
      </w:r>
      <w:r>
        <w:fldChar w:fldCharType="separate"/>
      </w:r>
      <w:r>
        <w:rPr>
          <w:rFonts w:hint="default" w:ascii="Times New Roman" w:hAnsi="Times New Roman" w:eastAsia="宋体" w:cs="Times New Roman"/>
          <w:bCs/>
          <w:i/>
          <w:iCs/>
          <w:lang w:val="en-US" w:eastAsia="zh-CN"/>
        </w:rPr>
        <w:t xml:space="preserve">Proposal 2: </w:t>
      </w:r>
      <w:r>
        <w:t>R</w:t>
      </w:r>
      <w:r>
        <w:rPr>
          <w:rFonts w:hint="eastAsia"/>
        </w:rPr>
        <w:t>esources indication</w:t>
      </w:r>
      <w:r>
        <w:t>/release</w:t>
      </w:r>
      <w:r>
        <w:rPr>
          <w:rFonts w:hint="eastAsia"/>
          <w:lang w:val="en-US" w:eastAsia="zh-CN"/>
        </w:rPr>
        <w:t xml:space="preserve"> </w:t>
      </w:r>
      <w:r>
        <w:rPr>
          <w:lang w:val="en-US" w:eastAsia="zh-CN"/>
        </w:rPr>
        <w:t>can be considered for enhancing c</w:t>
      </w:r>
      <w:r>
        <w:rPr>
          <w:rFonts w:hint="eastAsia"/>
          <w:lang w:val="en-US" w:eastAsia="zh-CN"/>
        </w:rPr>
        <w:t xml:space="preserve">onfigured grant </w:t>
      </w:r>
      <w:r>
        <w:rPr>
          <w:lang w:val="en-US" w:eastAsia="zh-CN"/>
        </w:rPr>
        <w:t>transmission.</w:t>
      </w:r>
      <w:r>
        <w:fldChar w:fldCharType="end"/>
      </w:r>
    </w:p>
    <w:p>
      <w:pPr>
        <w:pStyle w:val="13"/>
        <w:tabs>
          <w:tab w:val="right" w:leader="dot" w:pos="9660"/>
          <w:tab w:val="clear" w:pos="0"/>
        </w:tabs>
      </w:pPr>
      <w:r>
        <w:fldChar w:fldCharType="begin"/>
      </w:r>
      <w:r>
        <w:instrText xml:space="preserve"> HYPERLINK \l _Toc30155 </w:instrText>
      </w:r>
      <w:r>
        <w:fldChar w:fldCharType="separate"/>
      </w:r>
      <w:r>
        <w:rPr>
          <w:rFonts w:hint="default" w:ascii="Times New Roman" w:hAnsi="Times New Roman" w:eastAsia="宋体" w:cs="Times New Roman"/>
          <w:bCs/>
          <w:i/>
          <w:iCs/>
          <w:lang w:val="en-US" w:eastAsia="zh-CN"/>
        </w:rPr>
        <w:t xml:space="preserve">Proposal 3: </w:t>
      </w:r>
      <w:r>
        <w:rPr>
          <w:rFonts w:hint="eastAsia"/>
          <w:lang w:val="en-US" w:eastAsia="zh-CN"/>
        </w:rPr>
        <w:t xml:space="preserve">Buffer size reporting enhancement techniques, including e.g., enhanced BSR indication, can be </w:t>
      </w:r>
      <w:r>
        <w:rPr>
          <w:lang w:val="en-US" w:eastAsia="zh-CN"/>
        </w:rPr>
        <w:t>considered</w:t>
      </w:r>
      <w:r>
        <w:rPr>
          <w:rFonts w:hint="eastAsia"/>
          <w:lang w:val="en-US" w:eastAsia="zh-CN"/>
        </w:rPr>
        <w:t xml:space="preserve"> for </w:t>
      </w:r>
      <w:r>
        <w:rPr>
          <w:lang w:val="en-US" w:eastAsia="zh-CN"/>
        </w:rPr>
        <w:t xml:space="preserve">improving capacity for </w:t>
      </w:r>
      <w:r>
        <w:rPr>
          <w:rFonts w:hint="eastAsia"/>
          <w:lang w:val="en-US" w:eastAsia="zh-CN"/>
        </w:rPr>
        <w:t>XR service.</w:t>
      </w:r>
      <w:r>
        <w:fldChar w:fldCharType="end"/>
      </w:r>
    </w:p>
    <w:p>
      <w:pPr>
        <w:pStyle w:val="13"/>
        <w:tabs>
          <w:tab w:val="right" w:leader="dot" w:pos="9660"/>
          <w:tab w:val="clear" w:pos="0"/>
        </w:tabs>
      </w:pPr>
      <w:r>
        <w:fldChar w:fldCharType="begin"/>
      </w:r>
      <w:r>
        <w:instrText xml:space="preserve"> HYPERLINK \l _Toc14050 </w:instrText>
      </w:r>
      <w:r>
        <w:fldChar w:fldCharType="separate"/>
      </w:r>
      <w:r>
        <w:rPr>
          <w:rFonts w:hint="default" w:ascii="Times New Roman" w:hAnsi="Times New Roman" w:eastAsia="宋体" w:cs="Times New Roman"/>
          <w:bCs/>
          <w:i/>
          <w:iCs/>
          <w:lang w:val="en-US" w:eastAsia="zh-CN"/>
        </w:rPr>
        <w:t xml:space="preserve">Proposal 4: </w:t>
      </w:r>
      <w:r>
        <w:rPr>
          <w:rFonts w:hint="eastAsia"/>
          <w:lang w:val="en-US" w:eastAsia="zh-CN"/>
        </w:rPr>
        <w:t>Link adaptation enhancement for re-transmission techniques, including e.g. delta MCS, can be studied for XR service transmission to improve capacity performance.</w:t>
      </w:r>
      <w:r>
        <w:fldChar w:fldCharType="end"/>
      </w:r>
    </w:p>
    <w:p>
      <w:pPr>
        <w:pStyle w:val="13"/>
        <w:tabs>
          <w:tab w:val="right" w:leader="dot" w:pos="9660"/>
          <w:tab w:val="clear" w:pos="0"/>
        </w:tabs>
      </w:pPr>
      <w:r>
        <w:fldChar w:fldCharType="begin"/>
      </w:r>
      <w:r>
        <w:instrText xml:space="preserve"> HYPERLINK \l _Toc22023 </w:instrText>
      </w:r>
      <w:r>
        <w:fldChar w:fldCharType="separate"/>
      </w:r>
      <w:r>
        <w:rPr>
          <w:rFonts w:hint="default" w:ascii="Times New Roman" w:hAnsi="Times New Roman" w:eastAsia="宋体" w:cs="Times New Roman"/>
          <w:bCs/>
          <w:i/>
          <w:iCs/>
          <w:lang w:val="en-US" w:eastAsia="zh-CN"/>
        </w:rPr>
        <w:t xml:space="preserve">Proposal 5: </w:t>
      </w:r>
      <w:r>
        <w:rPr>
          <w:rFonts w:hint="eastAsia"/>
          <w:lang w:val="en-US" w:eastAsia="zh-CN"/>
        </w:rPr>
        <w:t>A</w:t>
      </w:r>
      <w:r>
        <w:rPr>
          <w:rFonts w:hint="eastAsia" w:eastAsia="宋体"/>
          <w:lang w:val="fr-FR"/>
        </w:rPr>
        <w:t>daptive int</w:t>
      </w:r>
      <w:r>
        <w:rPr>
          <w:rFonts w:hint="eastAsia" w:eastAsia="宋体"/>
          <w:lang w:val="en-US" w:eastAsia="zh-CN"/>
        </w:rPr>
        <w:t>er</w:t>
      </w:r>
      <w:r>
        <w:rPr>
          <w:rFonts w:hint="eastAsia" w:eastAsia="宋体"/>
          <w:lang w:val="fr-FR"/>
        </w:rPr>
        <w:t>-UE</w:t>
      </w:r>
      <w:r>
        <w:rPr>
          <w:rFonts w:hint="eastAsia" w:eastAsia="宋体"/>
          <w:lang w:val="en-US" w:eastAsia="zh-CN"/>
        </w:rPr>
        <w:t>/intra-UE</w:t>
      </w:r>
      <w:r>
        <w:rPr>
          <w:rFonts w:hint="eastAsia" w:eastAsia="宋体"/>
          <w:lang w:val="fr-FR"/>
        </w:rPr>
        <w:t xml:space="preserve"> multiplexing</w:t>
      </w:r>
      <w:r>
        <w:rPr>
          <w:rFonts w:hint="eastAsia" w:eastAsia="宋体"/>
          <w:lang w:val="en-US" w:eastAsia="zh-CN"/>
        </w:rPr>
        <w:t xml:space="preserve"> </w:t>
      </w:r>
      <w:r>
        <w:rPr>
          <w:rFonts w:hint="eastAsia"/>
          <w:lang w:val="en-US" w:eastAsia="zh-CN"/>
        </w:rPr>
        <w:t xml:space="preserve">techniques, including e.g. finer granularity preemption indication, </w:t>
      </w:r>
      <w:r>
        <w:rPr>
          <w:lang w:val="en-US" w:eastAsia="zh-CN"/>
        </w:rPr>
        <w:t>should</w:t>
      </w:r>
      <w:r>
        <w:rPr>
          <w:rFonts w:hint="eastAsia"/>
          <w:lang w:val="en-US" w:eastAsia="zh-CN"/>
        </w:rPr>
        <w:t xml:space="preserve"> be studied for transmission to improve system capacity performance.</w:t>
      </w:r>
      <w:r>
        <w:fldChar w:fldCharType="end"/>
      </w:r>
    </w:p>
    <w:p>
      <w:pPr>
        <w:pStyle w:val="13"/>
        <w:tabs>
          <w:tab w:val="right" w:leader="dot" w:pos="9660"/>
          <w:tab w:val="clear" w:pos="0"/>
        </w:tabs>
      </w:pPr>
      <w:r>
        <w:fldChar w:fldCharType="begin"/>
      </w:r>
      <w:r>
        <w:instrText xml:space="preserve"> HYPERLINK \l _Toc27079 </w:instrText>
      </w:r>
      <w:r>
        <w:fldChar w:fldCharType="separate"/>
      </w:r>
      <w:r>
        <w:rPr>
          <w:rFonts w:hint="default" w:ascii="Times New Roman" w:hAnsi="Times New Roman" w:eastAsia="宋体" w:cs="Times New Roman"/>
          <w:bCs/>
          <w:i/>
          <w:iCs/>
          <w:lang w:val="en-US" w:eastAsia="zh-CN"/>
        </w:rPr>
        <w:t xml:space="preserve">Proposal 6: </w:t>
      </w:r>
      <w:r>
        <w:rPr>
          <w:rFonts w:hint="eastAsia"/>
          <w:lang w:val="en-US" w:eastAsia="zh-CN"/>
        </w:rPr>
        <w:t>Network coding</w:t>
      </w:r>
      <w:r>
        <w:rPr>
          <w:rFonts w:hint="eastAsia" w:eastAsia="宋体"/>
          <w:lang w:val="en-US" w:eastAsia="zh-CN"/>
        </w:rPr>
        <w:t xml:space="preserve"> </w:t>
      </w:r>
      <w:r>
        <w:rPr>
          <w:rFonts w:hint="eastAsia"/>
          <w:lang w:val="en-US" w:eastAsia="zh-CN"/>
        </w:rPr>
        <w:t xml:space="preserve">techniques </w:t>
      </w:r>
      <w:r>
        <w:rPr>
          <w:lang w:val="en-US" w:eastAsia="zh-CN"/>
        </w:rPr>
        <w:t>should be</w:t>
      </w:r>
      <w:r>
        <w:rPr>
          <w:rFonts w:hint="eastAsia"/>
          <w:lang w:val="en-US" w:eastAsia="zh-CN"/>
        </w:rPr>
        <w:t xml:space="preserve"> </w:t>
      </w:r>
      <w:r>
        <w:rPr>
          <w:lang w:val="en-US" w:eastAsia="zh-CN"/>
        </w:rPr>
        <w:t>considered</w:t>
      </w:r>
      <w:r>
        <w:rPr>
          <w:rFonts w:hint="eastAsia"/>
          <w:lang w:val="en-US" w:eastAsia="zh-CN"/>
        </w:rPr>
        <w:t xml:space="preserve"> for XR service transmission to improve capacity performance.</w:t>
      </w:r>
      <w:r>
        <w:fldChar w:fldCharType="end"/>
      </w:r>
    </w:p>
    <w:p>
      <w:pPr>
        <w:spacing w:before="120" w:after="120"/>
        <w:rPr>
          <w:szCs w:val="22"/>
        </w:rPr>
      </w:pPr>
      <w:r>
        <w:fldChar w:fldCharType="end"/>
      </w:r>
    </w:p>
    <w:p>
      <w:pPr>
        <w:pStyle w:val="2"/>
        <w:spacing w:before="120" w:after="120"/>
        <w:ind w:left="0"/>
        <w:rPr>
          <w:rFonts w:eastAsia="宋体"/>
        </w:rPr>
      </w:pPr>
      <w:r>
        <w:rPr>
          <w:rFonts w:hint="eastAsia" w:eastAsia="宋体"/>
        </w:rPr>
        <w:t>Reference</w:t>
      </w:r>
      <w:r>
        <w:rPr>
          <w:rFonts w:eastAsia="宋体"/>
        </w:rPr>
        <w:t>s</w:t>
      </w:r>
    </w:p>
    <w:p>
      <w:pPr>
        <w:pStyle w:val="28"/>
        <w:spacing w:before="120" w:after="120"/>
        <w:ind w:left="363" w:hanging="363"/>
        <w:rPr>
          <w:sz w:val="20"/>
          <w:szCs w:val="20"/>
        </w:rPr>
      </w:pPr>
      <w:bookmarkStart w:id="32" w:name="_Ref18691"/>
      <w:r>
        <w:rPr>
          <w:rFonts w:hint="eastAsia"/>
          <w:sz w:val="20"/>
          <w:szCs w:val="20"/>
        </w:rPr>
        <w:t>3GPP TR 38.838, Study on XR (Extended Reality) Evaluations for NR.</w:t>
      </w:r>
    </w:p>
    <w:p>
      <w:pPr>
        <w:pStyle w:val="28"/>
        <w:spacing w:before="120" w:after="120"/>
        <w:ind w:left="363" w:hanging="363"/>
        <w:rPr>
          <w:sz w:val="20"/>
          <w:szCs w:val="20"/>
        </w:rPr>
      </w:pPr>
      <w:r>
        <w:rPr>
          <w:rFonts w:hint="eastAsia"/>
          <w:sz w:val="20"/>
          <w:szCs w:val="20"/>
        </w:rPr>
        <w:t xml:space="preserve">R1-2111351, </w:t>
      </w:r>
      <w:r>
        <w:rPr>
          <w:sz w:val="20"/>
          <w:szCs w:val="20"/>
        </w:rPr>
        <w:t>“</w:t>
      </w:r>
      <w:r>
        <w:rPr>
          <w:rFonts w:hint="eastAsia"/>
          <w:sz w:val="20"/>
          <w:szCs w:val="20"/>
        </w:rPr>
        <w:t>Performance Evaluation Results for XR</w:t>
      </w:r>
      <w:r>
        <w:rPr>
          <w:sz w:val="20"/>
          <w:szCs w:val="20"/>
        </w:rPr>
        <w:t>”</w:t>
      </w:r>
      <w:r>
        <w:rPr>
          <w:rFonts w:hint="eastAsia"/>
          <w:sz w:val="20"/>
          <w:szCs w:val="20"/>
        </w:rPr>
        <w:t>, ZTE, Sanechips, 3GPP TSG RAN WG1 #107-e, e-Meeting, e-Meeting, November 11</w:t>
      </w:r>
      <w:r>
        <w:rPr>
          <w:rFonts w:hint="eastAsia"/>
          <w:sz w:val="20"/>
          <w:szCs w:val="20"/>
          <w:lang w:eastAsia="ja-JP"/>
        </w:rPr>
        <w:t>th</w:t>
      </w:r>
      <w:r>
        <w:rPr>
          <w:rFonts w:hint="eastAsia"/>
          <w:sz w:val="20"/>
          <w:szCs w:val="20"/>
        </w:rPr>
        <w:t>-19</w:t>
      </w:r>
      <w:r>
        <w:rPr>
          <w:rFonts w:hint="eastAsia"/>
          <w:sz w:val="20"/>
          <w:szCs w:val="20"/>
          <w:lang w:eastAsia="ja-JP"/>
        </w:rPr>
        <w:t>th, 2021</w:t>
      </w:r>
      <w:r>
        <w:rPr>
          <w:rFonts w:hint="eastAsia"/>
          <w:sz w:val="20"/>
          <w:szCs w:val="20"/>
        </w:rPr>
        <w:t>.</w:t>
      </w:r>
    </w:p>
    <w:p>
      <w:pPr>
        <w:pStyle w:val="28"/>
        <w:spacing w:before="120" w:after="120"/>
        <w:ind w:left="363" w:hanging="363"/>
        <w:rPr>
          <w:sz w:val="20"/>
          <w:szCs w:val="20"/>
        </w:rPr>
      </w:pPr>
      <w:r>
        <w:rPr>
          <w:rFonts w:hint="eastAsia"/>
          <w:sz w:val="20"/>
          <w:szCs w:val="20"/>
        </w:rPr>
        <w:t xml:space="preserve">3GPP TS38.321 V17.0.0, </w:t>
      </w:r>
      <w:r>
        <w:rPr>
          <w:sz w:val="20"/>
          <w:szCs w:val="20"/>
        </w:rPr>
        <w:t>“Medium Access Control (MAC) protocol specification</w:t>
      </w:r>
      <w:r>
        <w:rPr>
          <w:rFonts w:hint="eastAsia"/>
          <w:sz w:val="20"/>
          <w:szCs w:val="20"/>
        </w:rPr>
        <w:t xml:space="preserve"> (Release 17)</w:t>
      </w:r>
      <w:r>
        <w:rPr>
          <w:sz w:val="20"/>
          <w:szCs w:val="20"/>
        </w:rPr>
        <w:t>”</w:t>
      </w:r>
      <w:r>
        <w:rPr>
          <w:rFonts w:hint="eastAsia"/>
          <w:sz w:val="20"/>
          <w:szCs w:val="20"/>
        </w:rPr>
        <w:t>.</w:t>
      </w:r>
    </w:p>
    <w:p>
      <w:pPr>
        <w:pStyle w:val="2"/>
        <w:numPr>
          <w:ilvl w:val="0"/>
          <w:numId w:val="0"/>
        </w:numPr>
        <w:spacing w:before="120" w:after="120"/>
        <w:rPr>
          <w:rFonts w:eastAsia="宋体"/>
        </w:rPr>
      </w:pPr>
      <w:r>
        <w:rPr>
          <w:rFonts w:hint="eastAsia" w:eastAsia="宋体"/>
        </w:rPr>
        <w:t xml:space="preserve">Appendix </w:t>
      </w:r>
    </w:p>
    <w:p>
      <w:pPr>
        <w:pStyle w:val="3"/>
        <w:numPr>
          <w:ilvl w:val="0"/>
          <w:numId w:val="0"/>
        </w:numPr>
        <w:spacing w:before="120" w:after="120"/>
        <w:ind w:right="210"/>
        <w:rPr>
          <w:rFonts w:eastAsia="宋体"/>
        </w:rPr>
      </w:pPr>
      <w:r>
        <w:rPr>
          <w:rFonts w:hint="eastAsia" w:eastAsia="宋体"/>
        </w:rPr>
        <w:t>A Simulation Parameters</w:t>
      </w:r>
    </w:p>
    <w:p>
      <w:pPr>
        <w:pStyle w:val="6"/>
        <w:keepNext/>
        <w:spacing w:before="120" w:after="120"/>
        <w:jc w:val="center"/>
        <w:rPr>
          <w:rFonts w:ascii="Times New Roman" w:hAnsi="Times New Roman"/>
        </w:rPr>
      </w:pPr>
      <w:r>
        <w:rPr>
          <w:rFonts w:ascii="Times New Roman" w:hAnsi="Times New Roman"/>
        </w:rPr>
        <w:t>Table A</w:t>
      </w:r>
      <w:r>
        <w:rPr>
          <w:rFonts w:hint="eastAsia" w:ascii="Times New Roman" w:hAnsi="Times New Roman"/>
        </w:rPr>
        <w:t>.1</w:t>
      </w:r>
      <w:r>
        <w:rPr>
          <w:rFonts w:ascii="Times New Roman" w:hAnsi="Times New Roman"/>
        </w:rPr>
        <w:t xml:space="preserve"> simulation parameters for </w:t>
      </w:r>
      <w:r>
        <w:rPr>
          <w:rFonts w:hint="eastAsia" w:ascii="Times New Roman" w:hAnsi="Times New Roman"/>
        </w:rPr>
        <w:t>FR1 DL</w:t>
      </w:r>
    </w:p>
    <w:tbl>
      <w:tblPr>
        <w:tblStyle w:val="17"/>
        <w:tblW w:w="101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4"/>
        <w:gridCol w:w="2635"/>
        <w:gridCol w:w="2711"/>
        <w:gridCol w:w="2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center"/>
              <w:textAlignment w:val="center"/>
              <w:rPr>
                <w:b/>
                <w:color w:val="000000"/>
                <w:sz w:val="20"/>
              </w:rPr>
            </w:pPr>
            <w:r>
              <w:rPr>
                <w:b/>
                <w:color w:val="000000"/>
                <w:kern w:val="0"/>
                <w:sz w:val="20"/>
              </w:rPr>
              <w:t>Parameters</w:t>
            </w:r>
          </w:p>
        </w:tc>
        <w:tc>
          <w:tcPr>
            <w:tcW w:w="7967" w:type="dxa"/>
            <w:gridSpan w:val="3"/>
          </w:tcPr>
          <w:p>
            <w:pPr>
              <w:spacing w:before="120" w:after="120"/>
              <w:jc w:val="center"/>
              <w:textAlignment w:val="center"/>
              <w:rPr>
                <w:b/>
                <w:color w:val="000000"/>
                <w:kern w:val="0"/>
                <w:sz w:val="20"/>
              </w:rPr>
            </w:pPr>
            <w:r>
              <w:rPr>
                <w:b/>
                <w:color w:val="000000"/>
                <w:kern w:val="0"/>
                <w:sz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2154" w:type="dxa"/>
            <w:vAlign w:val="center"/>
          </w:tcPr>
          <w:p>
            <w:pPr>
              <w:spacing w:before="120" w:after="120"/>
              <w:rPr>
                <w:color w:val="000000"/>
                <w:kern w:val="0"/>
                <w:sz w:val="20"/>
              </w:rPr>
            </w:pPr>
            <w:r>
              <w:rPr>
                <w:rFonts w:eastAsiaTheme="minorEastAsia"/>
              </w:rPr>
              <w:t>Scenario</w:t>
            </w:r>
          </w:p>
        </w:tc>
        <w:tc>
          <w:tcPr>
            <w:tcW w:w="2635" w:type="dxa"/>
          </w:tcPr>
          <w:p>
            <w:pPr>
              <w:spacing w:before="120" w:after="120"/>
              <w:rPr>
                <w:rFonts w:eastAsiaTheme="minorEastAsia"/>
              </w:rPr>
            </w:pPr>
            <w:r>
              <w:rPr>
                <w:rFonts w:eastAsiaTheme="minorEastAsia"/>
              </w:rPr>
              <w:t>Scenario-1: Indoor Hotspot</w:t>
            </w:r>
          </w:p>
          <w:p>
            <w:pPr>
              <w:spacing w:before="120" w:after="120"/>
              <w:rPr>
                <w:color w:val="000000"/>
                <w:kern w:val="0"/>
                <w:sz w:val="20"/>
              </w:rPr>
            </w:pPr>
            <w:r>
              <w:rPr>
                <w:rFonts w:eastAsiaTheme="minorEastAsia"/>
              </w:rPr>
              <w:t>12 nodes in 50 m x 120 m</w:t>
            </w:r>
          </w:p>
        </w:tc>
        <w:tc>
          <w:tcPr>
            <w:tcW w:w="2711" w:type="dxa"/>
          </w:tcPr>
          <w:p>
            <w:pPr>
              <w:spacing w:before="120" w:after="120"/>
              <w:rPr>
                <w:rFonts w:eastAsiaTheme="minorEastAsia"/>
              </w:rPr>
            </w:pPr>
            <w:r>
              <w:rPr>
                <w:rFonts w:eastAsiaTheme="minorEastAsia"/>
              </w:rPr>
              <w:t>Scenario-</w:t>
            </w:r>
            <w:r>
              <w:rPr>
                <w:rFonts w:hint="eastAsia" w:eastAsiaTheme="minorEastAsia"/>
              </w:rPr>
              <w:t>2</w:t>
            </w:r>
            <w:r>
              <w:rPr>
                <w:rFonts w:eastAsiaTheme="minorEastAsia"/>
              </w:rPr>
              <w:t>: Dense Urban</w:t>
            </w:r>
          </w:p>
          <w:p>
            <w:pPr>
              <w:spacing w:before="120" w:after="120"/>
              <w:rPr>
                <w:color w:val="000000"/>
                <w:kern w:val="0"/>
                <w:sz w:val="20"/>
              </w:rPr>
            </w:pPr>
            <w:r>
              <w:rPr>
                <w:rFonts w:eastAsiaTheme="minorEastAsia"/>
              </w:rPr>
              <w:t>hexagonal layout with 7, 3 Sectors</w:t>
            </w:r>
          </w:p>
        </w:tc>
        <w:tc>
          <w:tcPr>
            <w:tcW w:w="2621" w:type="dxa"/>
          </w:tcPr>
          <w:p>
            <w:pPr>
              <w:spacing w:before="120" w:after="120"/>
              <w:rPr>
                <w:rFonts w:eastAsiaTheme="minorEastAsia"/>
              </w:rPr>
            </w:pPr>
            <w:r>
              <w:rPr>
                <w:rFonts w:hint="eastAsia" w:eastAsiaTheme="minorEastAsia"/>
              </w:rPr>
              <w:t>Scenario-3: Urban Macro</w:t>
            </w:r>
          </w:p>
          <w:p>
            <w:pPr>
              <w:spacing w:before="120" w:after="120"/>
              <w:rPr>
                <w:rFonts w:eastAsiaTheme="minorEastAsia"/>
              </w:rPr>
            </w:pPr>
            <w:r>
              <w:rPr>
                <w:rFonts w:eastAsiaTheme="minorEastAsia"/>
              </w:rPr>
              <w:t>hexagonal layout with 7, 3 Sectors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Inter-BS distance</w:t>
            </w:r>
          </w:p>
        </w:tc>
        <w:tc>
          <w:tcPr>
            <w:tcW w:w="2635" w:type="dxa"/>
          </w:tcPr>
          <w:p>
            <w:pPr>
              <w:spacing w:before="120" w:after="120"/>
              <w:jc w:val="left"/>
              <w:textAlignment w:val="center"/>
              <w:rPr>
                <w:color w:val="000000"/>
                <w:sz w:val="20"/>
              </w:rPr>
            </w:pPr>
            <w:r>
              <w:rPr>
                <w:color w:val="000000"/>
                <w:kern w:val="0"/>
                <w:sz w:val="20"/>
              </w:rPr>
              <w:t>20m</w:t>
            </w:r>
          </w:p>
        </w:tc>
        <w:tc>
          <w:tcPr>
            <w:tcW w:w="2711" w:type="dxa"/>
          </w:tcPr>
          <w:p>
            <w:pPr>
              <w:spacing w:before="120" w:after="120"/>
              <w:jc w:val="left"/>
              <w:textAlignment w:val="center"/>
              <w:rPr>
                <w:color w:val="000000"/>
                <w:kern w:val="0"/>
                <w:sz w:val="20"/>
              </w:rPr>
            </w:pPr>
            <w:r>
              <w:rPr>
                <w:color w:val="000000"/>
                <w:kern w:val="0"/>
                <w:sz w:val="20"/>
              </w:rPr>
              <w:t>200m</w:t>
            </w:r>
          </w:p>
        </w:tc>
        <w:tc>
          <w:tcPr>
            <w:tcW w:w="2621" w:type="dxa"/>
          </w:tcPr>
          <w:p>
            <w:pPr>
              <w:spacing w:before="120" w:after="120"/>
              <w:jc w:val="left"/>
              <w:textAlignment w:val="center"/>
              <w:rPr>
                <w:color w:val="000000"/>
                <w:kern w:val="0"/>
                <w:sz w:val="20"/>
              </w:rPr>
            </w:pPr>
            <w:r>
              <w:rPr>
                <w:rFonts w:hint="eastAsia"/>
                <w:color w:val="000000"/>
                <w:kern w:val="0"/>
                <w:sz w:val="20"/>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Carrier frequency</w:t>
            </w:r>
          </w:p>
        </w:tc>
        <w:tc>
          <w:tcPr>
            <w:tcW w:w="7967" w:type="dxa"/>
            <w:gridSpan w:val="3"/>
          </w:tcPr>
          <w:p>
            <w:pPr>
              <w:spacing w:before="120" w:after="120"/>
              <w:jc w:val="left"/>
              <w:textAlignment w:val="center"/>
              <w:rPr>
                <w:color w:val="000000"/>
                <w:kern w:val="0"/>
                <w:sz w:val="20"/>
              </w:rPr>
            </w:pPr>
            <w:r>
              <w:rPr>
                <w:color w:val="000000"/>
                <w:kern w:val="0"/>
                <w:sz w:val="20"/>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2154" w:type="dxa"/>
          </w:tcPr>
          <w:p>
            <w:pPr>
              <w:spacing w:before="120" w:after="120"/>
              <w:jc w:val="left"/>
              <w:textAlignment w:val="center"/>
              <w:rPr>
                <w:color w:val="000000"/>
                <w:sz w:val="20"/>
              </w:rPr>
            </w:pPr>
            <w:r>
              <w:rPr>
                <w:color w:val="000000"/>
                <w:kern w:val="0"/>
                <w:sz w:val="20"/>
              </w:rPr>
              <w:t>Duplex Mode / Simulation bandwidth</w:t>
            </w:r>
          </w:p>
        </w:tc>
        <w:tc>
          <w:tcPr>
            <w:tcW w:w="7967" w:type="dxa"/>
            <w:gridSpan w:val="3"/>
          </w:tcPr>
          <w:p>
            <w:pPr>
              <w:spacing w:before="120" w:after="120"/>
              <w:jc w:val="left"/>
              <w:textAlignment w:val="center"/>
              <w:rPr>
                <w:color w:val="000000"/>
                <w:kern w:val="0"/>
                <w:sz w:val="20"/>
              </w:rPr>
            </w:pPr>
            <w:r>
              <w:rPr>
                <w:color w:val="000000"/>
                <w:kern w:val="0"/>
                <w:sz w:val="20"/>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SCS</w:t>
            </w:r>
          </w:p>
        </w:tc>
        <w:tc>
          <w:tcPr>
            <w:tcW w:w="7967" w:type="dxa"/>
            <w:gridSpan w:val="3"/>
          </w:tcPr>
          <w:p>
            <w:pPr>
              <w:spacing w:before="120" w:after="120"/>
              <w:jc w:val="left"/>
              <w:textAlignment w:val="center"/>
              <w:rPr>
                <w:color w:val="000000"/>
                <w:kern w:val="0"/>
                <w:sz w:val="20"/>
              </w:rPr>
            </w:pPr>
            <w:r>
              <w:rPr>
                <w:color w:val="000000"/>
                <w:kern w:val="0"/>
                <w:sz w:val="20"/>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kern w:val="0"/>
                <w:sz w:val="20"/>
              </w:rPr>
            </w:pPr>
            <w:r>
              <w:rPr>
                <w:color w:val="000000"/>
                <w:kern w:val="0"/>
                <w:sz w:val="20"/>
              </w:rPr>
              <w:t>TDD pattern</w:t>
            </w:r>
          </w:p>
        </w:tc>
        <w:tc>
          <w:tcPr>
            <w:tcW w:w="7967" w:type="dxa"/>
            <w:gridSpan w:val="3"/>
          </w:tcPr>
          <w:p>
            <w:pPr>
              <w:spacing w:before="120" w:after="120"/>
              <w:jc w:val="left"/>
              <w:textAlignment w:val="center"/>
              <w:rPr>
                <w:color w:val="000000"/>
                <w:kern w:val="0"/>
                <w:sz w:val="20"/>
              </w:rPr>
            </w:pPr>
            <w:r>
              <w:rPr>
                <w:color w:val="000000"/>
                <w:kern w:val="0"/>
                <w:sz w:val="20"/>
              </w:rPr>
              <w:t>DDDSU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jc w:val="center"/>
        </w:trPr>
        <w:tc>
          <w:tcPr>
            <w:tcW w:w="2154" w:type="dxa"/>
          </w:tcPr>
          <w:p>
            <w:pPr>
              <w:spacing w:before="120" w:after="120"/>
              <w:textAlignment w:val="center"/>
              <w:rPr>
                <w:color w:val="000000"/>
                <w:sz w:val="20"/>
              </w:rPr>
            </w:pPr>
            <w:r>
              <w:rPr>
                <w:color w:val="000000"/>
                <w:kern w:val="0"/>
                <w:sz w:val="20"/>
              </w:rPr>
              <w:t>BS Antenna Configuration</w:t>
            </w:r>
          </w:p>
        </w:tc>
        <w:tc>
          <w:tcPr>
            <w:tcW w:w="2635" w:type="dxa"/>
          </w:tcPr>
          <w:p>
            <w:pPr>
              <w:spacing w:before="120" w:after="120"/>
              <w:textAlignment w:val="center"/>
              <w:rPr>
                <w:b/>
                <w:color w:val="000000"/>
                <w:sz w:val="20"/>
              </w:rPr>
            </w:pPr>
            <w:r>
              <w:rPr>
                <w:rStyle w:val="30"/>
              </w:rPr>
              <w:t>32 Tx antenna ports, and (dH, dV) = (0.5λ, 0.5λ);</w:t>
            </w:r>
          </w:p>
          <w:p>
            <w:pPr>
              <w:spacing w:before="120" w:after="120"/>
              <w:textAlignment w:val="center"/>
              <w:rPr>
                <w:color w:val="000000"/>
                <w:sz w:val="20"/>
              </w:rPr>
            </w:pPr>
            <w:r>
              <w:rPr>
                <w:color w:val="000000"/>
                <w:kern w:val="0"/>
                <w:sz w:val="20"/>
              </w:rPr>
              <w:t xml:space="preserve">32TX:(M, N, P, Mg, Ng; Mp, Np) = (4,4, 2, 1, 1; 4, 4); </w:t>
            </w:r>
          </w:p>
          <w:p>
            <w:pPr>
              <w:spacing w:before="120" w:after="120"/>
              <w:textAlignment w:val="center"/>
              <w:rPr>
                <w:b/>
                <w:color w:val="000000"/>
                <w:sz w:val="20"/>
              </w:rPr>
            </w:pPr>
            <w:r>
              <w:rPr>
                <w:color w:val="000000"/>
                <w:kern w:val="0"/>
                <w:sz w:val="20"/>
              </w:rPr>
              <w:t>The antenna tilt is 90 degrees.</w:t>
            </w:r>
          </w:p>
        </w:tc>
        <w:tc>
          <w:tcPr>
            <w:tcW w:w="5332" w:type="dxa"/>
            <w:gridSpan w:val="2"/>
          </w:tcPr>
          <w:p>
            <w:pPr>
              <w:spacing w:before="120" w:after="120"/>
              <w:textAlignment w:val="center"/>
              <w:rPr>
                <w:b/>
                <w:color w:val="000000"/>
                <w:sz w:val="20"/>
              </w:rPr>
            </w:pPr>
            <w:r>
              <w:rPr>
                <w:rStyle w:val="30"/>
              </w:rPr>
              <w:t>64 Tx antenna ports, and (dH, dV) = (0.5λ, 0.5λ);</w:t>
            </w:r>
          </w:p>
          <w:p>
            <w:pPr>
              <w:spacing w:before="120" w:after="120"/>
              <w:textAlignment w:val="center"/>
              <w:rPr>
                <w:color w:val="000000"/>
                <w:sz w:val="20"/>
              </w:rPr>
            </w:pPr>
            <w:r>
              <w:rPr>
                <w:color w:val="000000"/>
                <w:kern w:val="0"/>
                <w:sz w:val="20"/>
              </w:rPr>
              <w:t xml:space="preserve">64TX:(M, N, P, Mg, Ng; Mp, Np) = (8,8, 2, 1, 1; 4, 8); </w:t>
            </w:r>
          </w:p>
          <w:p>
            <w:pPr>
              <w:spacing w:before="120" w:after="120"/>
              <w:textAlignment w:val="center"/>
              <w:rPr>
                <w:color w:val="000000"/>
                <w:kern w:val="0"/>
                <w:sz w:val="20"/>
              </w:rPr>
            </w:pPr>
            <w:r>
              <w:rPr>
                <w:color w:val="000000"/>
                <w:kern w:val="0"/>
                <w:sz w:val="20"/>
              </w:rPr>
              <w:t>The antenna tilt is 12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2154" w:type="dxa"/>
          </w:tcPr>
          <w:p>
            <w:pPr>
              <w:spacing w:before="120" w:after="120"/>
              <w:textAlignment w:val="center"/>
              <w:rPr>
                <w:color w:val="000000"/>
                <w:sz w:val="20"/>
              </w:rPr>
            </w:pPr>
            <w:r>
              <w:rPr>
                <w:color w:val="000000"/>
                <w:kern w:val="0"/>
                <w:sz w:val="20"/>
              </w:rPr>
              <w:t>UE Antenna Configuration</w:t>
            </w:r>
          </w:p>
        </w:tc>
        <w:tc>
          <w:tcPr>
            <w:tcW w:w="2635" w:type="dxa"/>
          </w:tcPr>
          <w:p>
            <w:pPr>
              <w:spacing w:before="120" w:after="120"/>
              <w:textAlignment w:val="center"/>
            </w:pPr>
            <w:r>
              <w:rPr>
                <w:rStyle w:val="30"/>
              </w:rPr>
              <w:t>4 Rx antenna ports, and Panel model 1: dH = 0.5λ</w:t>
            </w:r>
          </w:p>
          <w:p>
            <w:pPr>
              <w:spacing w:before="120" w:after="120"/>
              <w:textAlignment w:val="center"/>
              <w:rPr>
                <w:color w:val="000000"/>
                <w:sz w:val="20"/>
              </w:rPr>
            </w:pPr>
            <w:r>
              <w:rPr>
                <w:color w:val="000000"/>
                <w:kern w:val="0"/>
                <w:sz w:val="20"/>
              </w:rPr>
              <w:t>4 Rx: (M, N, P, Mg, Ng; Mp, Np) = (1,2,2,1,1; 1,2);</w:t>
            </w:r>
          </w:p>
        </w:tc>
        <w:tc>
          <w:tcPr>
            <w:tcW w:w="5332" w:type="dxa"/>
            <w:gridSpan w:val="2"/>
          </w:tcPr>
          <w:p>
            <w:pPr>
              <w:spacing w:before="120" w:after="120"/>
              <w:textAlignment w:val="center"/>
            </w:pPr>
            <w:r>
              <w:rPr>
                <w:rStyle w:val="30"/>
              </w:rPr>
              <w:t>4 Rx antenna ports, and Panel model 1: dH = 0.5λ</w:t>
            </w:r>
          </w:p>
          <w:p>
            <w:pPr>
              <w:spacing w:before="120" w:after="120"/>
              <w:textAlignment w:val="center"/>
              <w:rPr>
                <w:color w:val="000000"/>
                <w:kern w:val="0"/>
                <w:sz w:val="20"/>
              </w:rPr>
            </w:pPr>
            <w:r>
              <w:rPr>
                <w:color w:val="000000"/>
                <w:kern w:val="0"/>
                <w:sz w:val="20"/>
              </w:rPr>
              <w:t>4 Rx: (M, N, P, Mg, Ng; Mp, Np) = (1,2,2,1,1;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2154" w:type="dxa"/>
          </w:tcPr>
          <w:p>
            <w:pPr>
              <w:spacing w:before="120" w:after="120"/>
              <w:textAlignment w:val="center"/>
              <w:rPr>
                <w:color w:val="000000"/>
                <w:sz w:val="20"/>
              </w:rPr>
            </w:pPr>
            <w:r>
              <w:rPr>
                <w:color w:val="000000"/>
                <w:kern w:val="0"/>
                <w:sz w:val="20"/>
              </w:rPr>
              <w:t>Transmit Power</w:t>
            </w:r>
          </w:p>
        </w:tc>
        <w:tc>
          <w:tcPr>
            <w:tcW w:w="2635" w:type="dxa"/>
          </w:tcPr>
          <w:p>
            <w:pPr>
              <w:spacing w:before="120" w:after="120"/>
              <w:textAlignment w:val="center"/>
              <w:rPr>
                <w:color w:val="000000"/>
                <w:sz w:val="20"/>
              </w:rPr>
            </w:pPr>
            <w:r>
              <w:rPr>
                <w:color w:val="000000"/>
                <w:kern w:val="0"/>
                <w:sz w:val="20"/>
              </w:rPr>
              <w:t>24 dBm per 20M at TRP, and 23 dBm at UE</w:t>
            </w:r>
          </w:p>
        </w:tc>
        <w:tc>
          <w:tcPr>
            <w:tcW w:w="5332" w:type="dxa"/>
            <w:gridSpan w:val="2"/>
          </w:tcPr>
          <w:p>
            <w:pPr>
              <w:spacing w:before="120" w:after="120"/>
              <w:textAlignment w:val="center"/>
              <w:rPr>
                <w:color w:val="000000"/>
                <w:kern w:val="0"/>
                <w:sz w:val="20"/>
              </w:rPr>
            </w:pPr>
            <w:r>
              <w:rPr>
                <w:color w:val="000000"/>
                <w:kern w:val="0"/>
                <w:sz w:val="20"/>
              </w:rPr>
              <w:t>44 dBm per 20M at TRP, and 23 dBm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sz w:val="20"/>
              </w:rPr>
            </w:pPr>
            <w:r>
              <w:rPr>
                <w:rFonts w:hint="eastAsia"/>
                <w:color w:val="000000"/>
                <w:kern w:val="0"/>
                <w:sz w:val="20"/>
              </w:rPr>
              <w:t xml:space="preserve">BS </w:t>
            </w:r>
            <w:r>
              <w:rPr>
                <w:color w:val="000000"/>
                <w:kern w:val="0"/>
                <w:sz w:val="20"/>
              </w:rPr>
              <w:t>Height</w:t>
            </w:r>
          </w:p>
        </w:tc>
        <w:tc>
          <w:tcPr>
            <w:tcW w:w="2635" w:type="dxa"/>
          </w:tcPr>
          <w:p>
            <w:pPr>
              <w:spacing w:before="120" w:after="120"/>
              <w:textAlignment w:val="center"/>
              <w:rPr>
                <w:color w:val="000000"/>
                <w:sz w:val="20"/>
              </w:rPr>
            </w:pPr>
            <w:r>
              <w:rPr>
                <w:color w:val="000000"/>
                <w:kern w:val="0"/>
                <w:sz w:val="20"/>
              </w:rPr>
              <w:t xml:space="preserve">3 m </w:t>
            </w:r>
          </w:p>
        </w:tc>
        <w:tc>
          <w:tcPr>
            <w:tcW w:w="5332" w:type="dxa"/>
            <w:gridSpan w:val="2"/>
          </w:tcPr>
          <w:p>
            <w:pPr>
              <w:spacing w:before="120" w:after="120"/>
              <w:textAlignment w:val="center"/>
              <w:rPr>
                <w:color w:val="000000"/>
                <w:kern w:val="0"/>
                <w:sz w:val="20"/>
              </w:rPr>
            </w:pPr>
            <w:r>
              <w:rPr>
                <w:color w:val="000000"/>
                <w:kern w:val="0"/>
                <w:sz w:val="20"/>
              </w:rPr>
              <w:t xml:space="preserve">25 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kern w:val="0"/>
                <w:sz w:val="20"/>
              </w:rPr>
            </w:pPr>
            <w:r>
              <w:rPr>
                <w:rFonts w:hint="eastAsia"/>
                <w:color w:val="000000"/>
                <w:kern w:val="0"/>
                <w:sz w:val="20"/>
              </w:rPr>
              <w:t>UE Height</w:t>
            </w:r>
          </w:p>
        </w:tc>
        <w:tc>
          <w:tcPr>
            <w:tcW w:w="2635" w:type="dxa"/>
          </w:tcPr>
          <w:p>
            <w:pPr>
              <w:spacing w:before="120" w:after="120"/>
              <w:textAlignment w:val="center"/>
              <w:rPr>
                <w:color w:val="000000"/>
                <w:kern w:val="0"/>
                <w:sz w:val="20"/>
              </w:rPr>
            </w:pPr>
            <w:r>
              <w:rPr>
                <w:rFonts w:hint="eastAsia"/>
                <w:color w:val="000000"/>
                <w:kern w:val="0"/>
                <w:sz w:val="20"/>
              </w:rPr>
              <w:t>1.5m</w:t>
            </w:r>
          </w:p>
        </w:tc>
        <w:tc>
          <w:tcPr>
            <w:tcW w:w="5332" w:type="dxa"/>
            <w:gridSpan w:val="2"/>
          </w:tcPr>
          <w:p>
            <w:pPr>
              <w:spacing w:before="120" w:after="120"/>
            </w:pPr>
            <w:r>
              <w:t>Outdoor UEs: 1.5 m</w:t>
            </w:r>
          </w:p>
          <w:p>
            <w:pPr>
              <w:spacing w:before="120" w:after="120"/>
            </w:pPr>
            <w:r>
              <w:t xml:space="preserve">Indoor UTs: 3(nfl – 1) + 1.5; </w:t>
            </w:r>
          </w:p>
          <w:p>
            <w:pPr>
              <w:spacing w:before="120" w:after="120"/>
            </w:pPr>
            <w:r>
              <w:t xml:space="preserve">nfl ~ uniform(1,Nfl) where </w:t>
            </w:r>
          </w:p>
          <w:p>
            <w:pPr>
              <w:spacing w:before="120" w:after="120"/>
              <w:textAlignment w:val="center"/>
            </w:pPr>
            <w:r>
              <w:t>Nfl ~ uniform(4,8)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sz w:val="20"/>
              </w:rPr>
            </w:pPr>
            <w:r>
              <w:rPr>
                <w:color w:val="000000"/>
                <w:kern w:val="0"/>
                <w:sz w:val="20"/>
              </w:rPr>
              <w:t>Antenna Element Gain</w:t>
            </w:r>
          </w:p>
        </w:tc>
        <w:tc>
          <w:tcPr>
            <w:tcW w:w="2635" w:type="dxa"/>
          </w:tcPr>
          <w:p>
            <w:pPr>
              <w:spacing w:before="120" w:after="120"/>
              <w:textAlignment w:val="center"/>
              <w:rPr>
                <w:color w:val="000000"/>
                <w:sz w:val="20"/>
              </w:rPr>
            </w:pPr>
            <w:r>
              <w:rPr>
                <w:color w:val="000000"/>
                <w:kern w:val="0"/>
                <w:sz w:val="20"/>
              </w:rPr>
              <w:t>5dBi for BS and 0 dBi for UE</w:t>
            </w:r>
          </w:p>
        </w:tc>
        <w:tc>
          <w:tcPr>
            <w:tcW w:w="5332" w:type="dxa"/>
            <w:gridSpan w:val="2"/>
          </w:tcPr>
          <w:p>
            <w:pPr>
              <w:spacing w:before="120" w:after="120"/>
              <w:textAlignment w:val="center"/>
              <w:rPr>
                <w:color w:val="000000"/>
                <w:kern w:val="0"/>
                <w:sz w:val="20"/>
              </w:rPr>
            </w:pPr>
            <w:r>
              <w:rPr>
                <w:color w:val="000000"/>
                <w:kern w:val="0"/>
                <w:sz w:val="20"/>
              </w:rPr>
              <w:t>8dBi for BS and 0 dBi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sz w:val="20"/>
              </w:rPr>
            </w:pPr>
            <w:r>
              <w:rPr>
                <w:color w:val="000000"/>
                <w:kern w:val="0"/>
                <w:sz w:val="20"/>
              </w:rPr>
              <w:t>Receiver Noise Figure</w:t>
            </w:r>
          </w:p>
        </w:tc>
        <w:tc>
          <w:tcPr>
            <w:tcW w:w="7967" w:type="dxa"/>
            <w:gridSpan w:val="3"/>
          </w:tcPr>
          <w:p>
            <w:pPr>
              <w:spacing w:before="120" w:after="120"/>
              <w:textAlignment w:val="center"/>
              <w:rPr>
                <w:color w:val="000000"/>
                <w:kern w:val="0"/>
                <w:sz w:val="20"/>
              </w:rPr>
            </w:pPr>
            <w:r>
              <w:rPr>
                <w:color w:val="000000"/>
                <w:kern w:val="0"/>
                <w:sz w:val="20"/>
              </w:rPr>
              <w:t>5 dB for BS and 9 dB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2154" w:type="dxa"/>
          </w:tcPr>
          <w:p>
            <w:pPr>
              <w:spacing w:before="120" w:after="120"/>
              <w:jc w:val="left"/>
              <w:textAlignment w:val="center"/>
              <w:rPr>
                <w:color w:val="000000"/>
                <w:sz w:val="20"/>
              </w:rPr>
            </w:pPr>
            <w:r>
              <w:rPr>
                <w:color w:val="000000"/>
                <w:kern w:val="0"/>
                <w:sz w:val="20"/>
              </w:rPr>
              <w:t>UE distribution</w:t>
            </w:r>
          </w:p>
        </w:tc>
        <w:tc>
          <w:tcPr>
            <w:tcW w:w="2635" w:type="dxa"/>
          </w:tcPr>
          <w:p>
            <w:pPr>
              <w:spacing w:before="120" w:after="120"/>
              <w:jc w:val="left"/>
              <w:textAlignment w:val="center"/>
              <w:rPr>
                <w:color w:val="000000"/>
                <w:sz w:val="20"/>
              </w:rPr>
            </w:pPr>
            <w:r>
              <w:rPr>
                <w:color w:val="000000"/>
                <w:kern w:val="0"/>
                <w:sz w:val="20"/>
              </w:rPr>
              <w:t>100% of users are indoor</w:t>
            </w:r>
          </w:p>
          <w:p>
            <w:pPr>
              <w:spacing w:before="120" w:after="120"/>
              <w:jc w:val="left"/>
              <w:textAlignment w:val="center"/>
              <w:rPr>
                <w:color w:val="000000"/>
                <w:sz w:val="20"/>
              </w:rPr>
            </w:pPr>
            <w:r>
              <w:rPr>
                <w:color w:val="000000"/>
                <w:kern w:val="0"/>
                <w:sz w:val="20"/>
              </w:rPr>
              <w:t>Use 3km/h for modeling fading channel</w:t>
            </w:r>
          </w:p>
        </w:tc>
        <w:tc>
          <w:tcPr>
            <w:tcW w:w="5332" w:type="dxa"/>
            <w:gridSpan w:val="2"/>
          </w:tcPr>
          <w:p>
            <w:pPr>
              <w:spacing w:before="120" w:after="120"/>
              <w:jc w:val="left"/>
              <w:textAlignment w:val="center"/>
              <w:rPr>
                <w:color w:val="000000"/>
                <w:sz w:val="20"/>
              </w:rPr>
            </w:pPr>
            <w:r>
              <w:rPr>
                <w:color w:val="000000"/>
                <w:kern w:val="0"/>
                <w:sz w:val="20"/>
              </w:rPr>
              <w:t>80% of users are indoor,20%of users are outdoor;</w:t>
            </w:r>
          </w:p>
          <w:p>
            <w:pPr>
              <w:spacing w:before="120" w:after="120"/>
              <w:jc w:val="left"/>
              <w:textAlignment w:val="center"/>
              <w:rPr>
                <w:color w:val="000000"/>
                <w:kern w:val="0"/>
                <w:sz w:val="20"/>
              </w:rPr>
            </w:pPr>
            <w:r>
              <w:rPr>
                <w:color w:val="000000"/>
                <w:kern w:val="0"/>
                <w:sz w:val="20"/>
              </w:rPr>
              <w:t>Use 3km/h for modeling fading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Number of UEs per cell</w:t>
            </w:r>
          </w:p>
        </w:tc>
        <w:tc>
          <w:tcPr>
            <w:tcW w:w="7967" w:type="dxa"/>
            <w:gridSpan w:val="3"/>
          </w:tcPr>
          <w:p>
            <w:pPr>
              <w:spacing w:before="120" w:after="120"/>
              <w:jc w:val="left"/>
              <w:textAlignment w:val="center"/>
              <w:rPr>
                <w:color w:val="000000"/>
                <w:kern w:val="0"/>
                <w:sz w:val="20"/>
              </w:rPr>
            </w:pPr>
            <w:r>
              <w:rPr>
                <w:color w:val="000000"/>
                <w:kern w:val="0"/>
                <w:sz w:val="20"/>
              </w:rPr>
              <w:t>up to 1</w:t>
            </w:r>
            <w:r>
              <w:rPr>
                <w:rFonts w:hint="eastAsia"/>
                <w:color w:val="000000"/>
                <w:kern w:val="0"/>
                <w:sz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sz w:val="20"/>
              </w:rPr>
            </w:pPr>
            <w:r>
              <w:rPr>
                <w:color w:val="000000"/>
                <w:kern w:val="0"/>
                <w:sz w:val="20"/>
              </w:rPr>
              <w:t>Scheduling Algorithm</w:t>
            </w:r>
          </w:p>
        </w:tc>
        <w:tc>
          <w:tcPr>
            <w:tcW w:w="7967" w:type="dxa"/>
            <w:gridSpan w:val="3"/>
          </w:tcPr>
          <w:p>
            <w:pPr>
              <w:spacing w:before="120" w:after="120"/>
              <w:textAlignment w:val="center"/>
              <w:rPr>
                <w:color w:val="000000"/>
                <w:kern w:val="0"/>
                <w:sz w:val="20"/>
              </w:rPr>
            </w:pPr>
            <w:r>
              <w:rPr>
                <w:color w:val="000000"/>
                <w:kern w:val="0"/>
                <w:sz w:val="20"/>
              </w:rPr>
              <w:t>MU-MIMO+ PF</w:t>
            </w:r>
            <w:r>
              <w:rPr>
                <w:rFonts w:hint="eastAsia"/>
                <w:color w:val="000000"/>
                <w:kern w:val="0"/>
                <w:sz w:val="20"/>
              </w:rPr>
              <w:t xml:space="preserve"> / SU-MIMO SPS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HARQ/repetition</w:t>
            </w:r>
          </w:p>
        </w:tc>
        <w:tc>
          <w:tcPr>
            <w:tcW w:w="7967" w:type="dxa"/>
            <w:gridSpan w:val="3"/>
          </w:tcPr>
          <w:p>
            <w:pPr>
              <w:spacing w:before="120" w:after="120"/>
              <w:jc w:val="left"/>
              <w:textAlignment w:val="center"/>
              <w:rPr>
                <w:color w:val="000000"/>
                <w:kern w:val="0"/>
                <w:sz w:val="20"/>
              </w:rPr>
            </w:pPr>
            <w:r>
              <w:rPr>
                <w:color w:val="000000"/>
                <w:kern w:val="0"/>
                <w:sz w:val="20"/>
              </w:rPr>
              <w:t>HARQ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Channel estimation</w:t>
            </w:r>
          </w:p>
        </w:tc>
        <w:tc>
          <w:tcPr>
            <w:tcW w:w="7967" w:type="dxa"/>
            <w:gridSpan w:val="3"/>
          </w:tcPr>
          <w:p>
            <w:pPr>
              <w:spacing w:before="120" w:after="120"/>
              <w:jc w:val="left"/>
              <w:textAlignment w:val="center"/>
              <w:rPr>
                <w:color w:val="000000"/>
                <w:kern w:val="0"/>
                <w:sz w:val="20"/>
              </w:rPr>
            </w:pPr>
            <w:r>
              <w:rPr>
                <w:color w:val="000000"/>
                <w:kern w:val="0"/>
                <w:sz w:val="20"/>
              </w:rPr>
              <w:t>Realist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spacing w:before="120" w:after="120"/>
              <w:rPr>
                <w:color w:val="000000"/>
                <w:kern w:val="0"/>
                <w:sz w:val="20"/>
              </w:rPr>
            </w:pPr>
            <w:r>
              <w:rPr>
                <w:rFonts w:eastAsia="Arial"/>
                <w:sz w:val="20"/>
              </w:rPr>
              <w:t>Target BLER</w:t>
            </w:r>
          </w:p>
        </w:tc>
        <w:tc>
          <w:tcPr>
            <w:tcW w:w="7967" w:type="dxa"/>
            <w:gridSpan w:val="3"/>
            <w:vAlign w:val="center"/>
          </w:tcPr>
          <w:p>
            <w:pPr>
              <w:spacing w:before="120" w:after="120"/>
              <w:rPr>
                <w:rFonts w:eastAsia="Arial"/>
                <w:sz w:val="20"/>
              </w:rPr>
            </w:pPr>
            <w:r>
              <w:rPr>
                <w:rFonts w:eastAsia="Arial"/>
                <w:sz w:val="20"/>
              </w:rPr>
              <w:t>10% for first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54" w:type="dxa"/>
            <w:vAlign w:val="center"/>
          </w:tcPr>
          <w:p>
            <w:pPr>
              <w:pStyle w:val="38"/>
              <w:spacing w:before="120" w:after="120"/>
              <w:jc w:val="left"/>
              <w:rPr>
                <w:rFonts w:ascii="Times New Roman" w:hAnsi="Times New Roman" w:cs="Times New Roman"/>
                <w:color w:val="000000"/>
                <w:kern w:val="0"/>
                <w:sz w:val="20"/>
              </w:rPr>
            </w:pPr>
            <w:r>
              <w:rPr>
                <w:rFonts w:ascii="Times New Roman" w:hAnsi="Times New Roman" w:eastAsia="宋体" w:cs="Times New Roman"/>
                <w:sz w:val="20"/>
                <w:szCs w:val="20"/>
              </w:rPr>
              <w:t>PHY processing delay</w:t>
            </w:r>
          </w:p>
        </w:tc>
        <w:tc>
          <w:tcPr>
            <w:tcW w:w="7967" w:type="dxa"/>
            <w:gridSpan w:val="3"/>
            <w:vAlign w:val="center"/>
          </w:tcPr>
          <w:p>
            <w:pPr>
              <w:pStyle w:val="38"/>
              <w:spacing w:before="120" w:after="120"/>
              <w:jc w:val="left"/>
              <w:rPr>
                <w:rFonts w:ascii="Times New Roman" w:hAnsi="Times New Roman" w:eastAsia="宋体" w:cs="Times New Roman"/>
                <w:sz w:val="20"/>
                <w:szCs w:val="20"/>
              </w:rPr>
            </w:pPr>
            <w:r>
              <w:rPr>
                <w:rFonts w:ascii="Times New Roman" w:hAnsi="Times New Roman" w:eastAsia="宋体" w:cs="Times New Roman"/>
                <w:sz w:val="20"/>
                <w:szCs w:val="20"/>
              </w:rPr>
              <w:t>UE P</w:t>
            </w:r>
            <w:r>
              <w:rPr>
                <w:rFonts w:ascii="Times New Roman" w:hAnsi="Times New Roman" w:eastAsia="宋体" w:cs="Times New Roman"/>
                <w:sz w:val="20"/>
                <w:szCs w:val="20"/>
                <w:lang w:eastAsia="zh-CN"/>
              </w:rPr>
              <w:t>U</w:t>
            </w:r>
            <w:r>
              <w:rPr>
                <w:rFonts w:ascii="Times New Roman" w:hAnsi="Times New Roman" w:eastAsia="宋体" w:cs="Times New Roman"/>
                <w:sz w:val="20"/>
                <w:szCs w:val="20"/>
              </w:rPr>
              <w:t>SCH processing Capability #1</w:t>
            </w:r>
            <w:r>
              <w:rPr>
                <w:rFonts w:ascii="Times New Roman" w:hAnsi="Times New Roman" w:eastAsia="宋体" w:cs="Times New Roman"/>
                <w:sz w:val="20"/>
                <w:szCs w:val="20"/>
                <w:lang w:eastAsia="zh-CN"/>
              </w:rPr>
              <w:t>,N1=10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54" w:type="dxa"/>
            <w:vAlign w:val="center"/>
          </w:tcPr>
          <w:p>
            <w:pPr>
              <w:pStyle w:val="38"/>
              <w:spacing w:before="120" w:after="120"/>
              <w:jc w:val="left"/>
              <w:rPr>
                <w:rFonts w:ascii="Times New Roman" w:hAnsi="Times New Roman" w:cs="Times New Roman"/>
                <w:color w:val="000000"/>
                <w:kern w:val="0"/>
                <w:sz w:val="20"/>
              </w:rPr>
            </w:pPr>
            <w:r>
              <w:rPr>
                <w:rFonts w:ascii="Times New Roman" w:hAnsi="Times New Roman" w:eastAsia="宋体" w:cs="Times New Roman"/>
                <w:sz w:val="20"/>
                <w:szCs w:val="20"/>
              </w:rPr>
              <w:t>PDCCH overhead</w:t>
            </w:r>
          </w:p>
        </w:tc>
        <w:tc>
          <w:tcPr>
            <w:tcW w:w="7967" w:type="dxa"/>
            <w:gridSpan w:val="3"/>
            <w:vAlign w:val="center"/>
          </w:tcPr>
          <w:p>
            <w:pPr>
              <w:pStyle w:val="38"/>
              <w:spacing w:before="120" w:after="120"/>
              <w:jc w:val="left"/>
              <w:rPr>
                <w:rFonts w:ascii="Times New Roman" w:hAnsi="Times New Roman" w:eastAsia="宋体" w:cs="Times New Roman"/>
                <w:color w:val="000000"/>
                <w:kern w:val="0"/>
                <w:sz w:val="20"/>
                <w:szCs w:val="20"/>
                <w:lang w:eastAsia="zh-CN"/>
              </w:rPr>
            </w:pPr>
            <w:r>
              <w:rPr>
                <w:rFonts w:ascii="Times New Roman" w:hAnsi="Times New Roman" w:eastAsia="宋体" w:cs="Times New Roman"/>
                <w:color w:val="000000"/>
                <w:kern w:val="0"/>
                <w:sz w:val="20"/>
                <w:szCs w:val="20"/>
                <w:lang w:eastAsia="zh-CN"/>
              </w:rPr>
              <w:t>1/7(2symbols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54" w:type="dxa"/>
            <w:vAlign w:val="center"/>
          </w:tcPr>
          <w:p>
            <w:pPr>
              <w:pStyle w:val="38"/>
              <w:spacing w:before="120" w:after="120"/>
              <w:jc w:val="left"/>
              <w:rPr>
                <w:rFonts w:ascii="Times New Roman" w:hAnsi="Times New Roman" w:cs="Times New Roman"/>
                <w:color w:val="000000"/>
                <w:kern w:val="0"/>
                <w:sz w:val="20"/>
              </w:rPr>
            </w:pPr>
            <w:r>
              <w:rPr>
                <w:rFonts w:ascii="Times New Roman" w:hAnsi="Times New Roman" w:eastAsia="宋体" w:cs="Times New Roman"/>
                <w:sz w:val="20"/>
                <w:szCs w:val="20"/>
              </w:rPr>
              <w:t>DMRS overhead</w:t>
            </w:r>
          </w:p>
        </w:tc>
        <w:tc>
          <w:tcPr>
            <w:tcW w:w="7967" w:type="dxa"/>
            <w:gridSpan w:val="3"/>
            <w:vAlign w:val="center"/>
          </w:tcPr>
          <w:p>
            <w:pPr>
              <w:pStyle w:val="38"/>
              <w:spacing w:before="120" w:after="120"/>
              <w:jc w:val="left"/>
              <w:rPr>
                <w:rFonts w:ascii="Times New Roman" w:hAnsi="Times New Roman" w:eastAsia="宋体" w:cs="Times New Roman"/>
                <w:color w:val="000000"/>
                <w:kern w:val="0"/>
                <w:sz w:val="20"/>
                <w:lang w:eastAsia="zh-CN"/>
              </w:rPr>
            </w:pPr>
            <w:r>
              <w:rPr>
                <w:rFonts w:ascii="Times New Roman" w:hAnsi="Times New Roman" w:eastAsia="宋体" w:cs="Times New Roman"/>
                <w:color w:val="000000"/>
                <w:kern w:val="0"/>
                <w:sz w:val="20"/>
                <w:lang w:eastAsia="zh-CN"/>
              </w:rPr>
              <w:t>1 symbol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154" w:type="dxa"/>
          </w:tcPr>
          <w:p>
            <w:pPr>
              <w:spacing w:before="120" w:after="120"/>
              <w:jc w:val="left"/>
              <w:textAlignment w:val="center"/>
              <w:rPr>
                <w:color w:val="000000"/>
                <w:sz w:val="20"/>
              </w:rPr>
            </w:pPr>
            <w:r>
              <w:rPr>
                <w:color w:val="000000"/>
                <w:kern w:val="0"/>
                <w:sz w:val="20"/>
              </w:rPr>
              <w:t>BS receiver</w:t>
            </w:r>
          </w:p>
        </w:tc>
        <w:tc>
          <w:tcPr>
            <w:tcW w:w="7967" w:type="dxa"/>
            <w:gridSpan w:val="3"/>
          </w:tcPr>
          <w:p>
            <w:pPr>
              <w:spacing w:before="120" w:after="120"/>
              <w:jc w:val="left"/>
              <w:textAlignment w:val="center"/>
              <w:rPr>
                <w:color w:val="000000"/>
                <w:kern w:val="0"/>
                <w:sz w:val="20"/>
              </w:rPr>
            </w:pPr>
            <w:r>
              <w:rPr>
                <w:color w:val="000000"/>
                <w:kern w:val="0"/>
                <w:sz w:val="20"/>
              </w:rPr>
              <w:t>MMSE-IRC</w:t>
            </w:r>
          </w:p>
        </w:tc>
      </w:tr>
      <w:bookmarkEnd w:id="32"/>
    </w:tbl>
    <w:p>
      <w:pPr>
        <w:pStyle w:val="6"/>
        <w:spacing w:before="120" w:after="120" w:line="276" w:lineRule="auto"/>
        <w:jc w:val="center"/>
        <w:rPr>
          <w:rFonts w:ascii="Times New Roman" w:hAnsi="Times New Roman"/>
        </w:rPr>
      </w:pPr>
      <w:bookmarkStart w:id="33" w:name="_Ref9233"/>
      <w:bookmarkStart w:id="34" w:name="OLE_LINK19"/>
      <w:bookmarkStart w:id="35" w:name="OLE_LINK18"/>
    </w:p>
    <w:p>
      <w:pPr>
        <w:pStyle w:val="6"/>
        <w:spacing w:before="120" w:after="120" w:line="276" w:lineRule="auto"/>
        <w:jc w:val="center"/>
        <w:rPr>
          <w:rFonts w:ascii="Times New Roman" w:hAnsi="Times New Roman" w:eastAsia="宋体"/>
        </w:rPr>
      </w:pPr>
      <w:r>
        <w:rPr>
          <w:rFonts w:ascii="Times New Roman" w:hAnsi="Times New Roman"/>
        </w:rPr>
        <w:t xml:space="preserve">Table </w:t>
      </w:r>
      <w:r>
        <w:rPr>
          <w:rFonts w:hint="eastAsia" w:ascii="Times New Roman" w:hAnsi="Times New Roman"/>
        </w:rPr>
        <w:t>A.</w:t>
      </w:r>
      <w:bookmarkEnd w:id="33"/>
      <w:r>
        <w:rPr>
          <w:rFonts w:hint="eastAsia" w:ascii="Times New Roman" w:hAnsi="Times New Roman"/>
        </w:rPr>
        <w:t>2</w:t>
      </w:r>
      <w:r>
        <w:rPr>
          <w:rFonts w:ascii="Times New Roman" w:hAnsi="Times New Roman" w:eastAsia="宋体"/>
        </w:rPr>
        <w:t xml:space="preserve"> Simulation assumption for FR1 UL</w:t>
      </w:r>
    </w:p>
    <w:tbl>
      <w:tblPr>
        <w:tblStyle w:val="17"/>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1"/>
        <w:gridCol w:w="4000"/>
        <w:gridCol w:w="3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jc w:val="center"/>
              <w:rPr>
                <w:rFonts w:eastAsiaTheme="minorEastAsia"/>
                <w:b/>
                <w:sz w:val="20"/>
              </w:rPr>
            </w:pPr>
            <w:r>
              <w:rPr>
                <w:rFonts w:eastAsiaTheme="minorEastAsia"/>
                <w:b/>
                <w:sz w:val="20"/>
              </w:rPr>
              <w:t>Parameter</w:t>
            </w:r>
          </w:p>
        </w:tc>
        <w:tc>
          <w:tcPr>
            <w:tcW w:w="7763" w:type="dxa"/>
            <w:gridSpan w:val="2"/>
            <w:shd w:val="clear" w:color="auto" w:fill="auto"/>
            <w:vAlign w:val="center"/>
          </w:tcPr>
          <w:p>
            <w:pPr>
              <w:spacing w:before="120" w:after="120"/>
              <w:jc w:val="center"/>
              <w:rPr>
                <w:rFonts w:eastAsiaTheme="minorEastAsia"/>
                <w:b/>
                <w:sz w:val="20"/>
              </w:rPr>
            </w:pPr>
            <w:r>
              <w:rPr>
                <w:rFonts w:eastAsiaTheme="minorEastAsia"/>
                <w:b/>
                <w:sz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Scenarios</w:t>
            </w:r>
          </w:p>
        </w:tc>
        <w:tc>
          <w:tcPr>
            <w:tcW w:w="4000" w:type="dxa"/>
            <w:shd w:val="clear" w:color="auto" w:fill="auto"/>
            <w:vAlign w:val="center"/>
          </w:tcPr>
          <w:p>
            <w:pPr>
              <w:spacing w:before="120" w:after="120"/>
              <w:rPr>
                <w:sz w:val="20"/>
              </w:rPr>
            </w:pPr>
            <w:r>
              <w:rPr>
                <w:rFonts w:eastAsiaTheme="minorEastAsia"/>
                <w:sz w:val="20"/>
              </w:rPr>
              <w:t>Scenario-1: Indoor Hotspot</w:t>
            </w:r>
            <w:r>
              <w:rPr>
                <w:sz w:val="20"/>
              </w:rPr>
              <w:t xml:space="preserve"> </w:t>
            </w:r>
          </w:p>
          <w:p>
            <w:pPr>
              <w:spacing w:before="120" w:after="120"/>
              <w:rPr>
                <w:rFonts w:eastAsiaTheme="minorEastAsia"/>
                <w:sz w:val="20"/>
              </w:rPr>
            </w:pPr>
            <w:r>
              <w:rPr>
                <w:rFonts w:eastAsiaTheme="minorEastAsia"/>
                <w:sz w:val="20"/>
              </w:rPr>
              <w:t>12 nodes in 50 m x 120 m</w:t>
            </w:r>
          </w:p>
        </w:tc>
        <w:tc>
          <w:tcPr>
            <w:tcW w:w="3763" w:type="dxa"/>
            <w:shd w:val="clear" w:color="auto" w:fill="auto"/>
            <w:vAlign w:val="center"/>
          </w:tcPr>
          <w:p>
            <w:pPr>
              <w:spacing w:before="120" w:after="120"/>
              <w:rPr>
                <w:rFonts w:eastAsiaTheme="minorEastAsia"/>
                <w:sz w:val="20"/>
              </w:rPr>
            </w:pPr>
            <w:r>
              <w:rPr>
                <w:rFonts w:hint="eastAsia" w:eastAsiaTheme="minorEastAsia"/>
                <w:sz w:val="20"/>
              </w:rPr>
              <w:t>Scenario-2 : Dense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Carrier frequency</w:t>
            </w:r>
          </w:p>
        </w:tc>
        <w:tc>
          <w:tcPr>
            <w:tcW w:w="7763" w:type="dxa"/>
            <w:gridSpan w:val="2"/>
            <w:shd w:val="clear" w:color="auto" w:fill="auto"/>
            <w:vAlign w:val="center"/>
          </w:tcPr>
          <w:p>
            <w:pPr>
              <w:spacing w:before="120" w:after="120"/>
              <w:rPr>
                <w:sz w:val="20"/>
              </w:rPr>
            </w:pPr>
            <w:r>
              <w:rPr>
                <w:sz w:val="20"/>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 xml:space="preserve">Bandwidth </w:t>
            </w:r>
          </w:p>
        </w:tc>
        <w:tc>
          <w:tcPr>
            <w:tcW w:w="7763" w:type="dxa"/>
            <w:gridSpan w:val="2"/>
            <w:shd w:val="clear" w:color="auto" w:fill="auto"/>
            <w:vAlign w:val="center"/>
          </w:tcPr>
          <w:p>
            <w:pPr>
              <w:spacing w:before="120" w:after="120"/>
              <w:rPr>
                <w:sz w:val="20"/>
              </w:rPr>
            </w:pPr>
            <w:r>
              <w:rPr>
                <w:sz w:val="20"/>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Subcarrier spacing</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Frame structure</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DDDSU (S: 10D:2G:2U) for UL</w:t>
            </w:r>
            <w:r>
              <w:rPr>
                <w:sz w:val="20"/>
              </w:rPr>
              <w:t xml:space="preserve"> </w:t>
            </w:r>
            <w:r>
              <w:rPr>
                <w:rFonts w:eastAsiaTheme="minorEastAsia"/>
                <w:sz w:val="20"/>
              </w:rPr>
              <w:t>interaction/pose information delivering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 xml:space="preserve">BS Antennas </w:t>
            </w:r>
          </w:p>
          <w:p>
            <w:pPr>
              <w:spacing w:before="120" w:after="120"/>
              <w:rPr>
                <w:rFonts w:eastAsiaTheme="minorEastAsia"/>
                <w:sz w:val="20"/>
              </w:rPr>
            </w:pPr>
            <w:r>
              <w:rPr>
                <w:rFonts w:eastAsiaTheme="minorEastAsia"/>
                <w:sz w:val="20"/>
              </w:rPr>
              <w:t>(M,N,P,Mg,Ng;Mp,Np)</w:t>
            </w:r>
          </w:p>
        </w:tc>
        <w:tc>
          <w:tcPr>
            <w:tcW w:w="4000" w:type="dxa"/>
            <w:shd w:val="clear" w:color="auto" w:fill="auto"/>
            <w:vAlign w:val="center"/>
          </w:tcPr>
          <w:p>
            <w:pPr>
              <w:spacing w:before="120" w:after="120"/>
              <w:rPr>
                <w:rFonts w:eastAsiaTheme="minorEastAsia"/>
                <w:sz w:val="20"/>
              </w:rPr>
            </w:pPr>
            <w:r>
              <w:rPr>
                <w:rFonts w:eastAsiaTheme="minorEastAsia"/>
                <w:sz w:val="20"/>
              </w:rPr>
              <w:t>For 32R: (4,4,2,1,1;4,4)</w:t>
            </w:r>
          </w:p>
          <w:p>
            <w:pPr>
              <w:spacing w:before="120" w:after="120"/>
              <w:rPr>
                <w:rFonts w:eastAsiaTheme="minorEastAsia"/>
                <w:sz w:val="20"/>
              </w:rPr>
            </w:pPr>
            <w:r>
              <w:rPr>
                <w:sz w:val="20"/>
              </w:rPr>
              <w:t>(dH,dV) = (0.5, 0.5)λ</w:t>
            </w:r>
          </w:p>
        </w:tc>
        <w:tc>
          <w:tcPr>
            <w:tcW w:w="3763" w:type="dxa"/>
            <w:shd w:val="clear" w:color="auto" w:fill="auto"/>
            <w:vAlign w:val="center"/>
          </w:tcPr>
          <w:p>
            <w:pPr>
              <w:spacing w:before="120" w:after="120"/>
              <w:rPr>
                <w:color w:val="000000"/>
                <w:kern w:val="0"/>
                <w:sz w:val="20"/>
              </w:rPr>
            </w:pPr>
            <w:r>
              <w:rPr>
                <w:rFonts w:hint="eastAsia"/>
                <w:sz w:val="20"/>
              </w:rPr>
              <w:t>For 64R:</w:t>
            </w:r>
            <w:r>
              <w:rPr>
                <w:color w:val="000000"/>
                <w:kern w:val="0"/>
                <w:sz w:val="20"/>
              </w:rPr>
              <w:t xml:space="preserve"> (8,8, 2, 1, 1; 4, 8)</w:t>
            </w:r>
          </w:p>
          <w:p>
            <w:pPr>
              <w:spacing w:before="120" w:after="120"/>
              <w:rPr>
                <w:sz w:val="20"/>
              </w:rPr>
            </w:pPr>
            <w:r>
              <w:rPr>
                <w:sz w:val="20"/>
              </w:rPr>
              <w:t xml:space="preserve">(dH,dV) </w:t>
            </w:r>
            <w:r>
              <w:rPr>
                <w:rFonts w:hint="eastAsia"/>
                <w:sz w:val="20"/>
              </w:rPr>
              <w:t xml:space="preserve"> </w:t>
            </w:r>
            <w:r>
              <w:rPr>
                <w:rStyle w:val="30"/>
              </w:rPr>
              <w:t>= (0.5λ, 0.5λ)</w:t>
            </w:r>
            <w:r>
              <w:rPr>
                <w:color w:val="000000"/>
                <w:kern w:val="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 xml:space="preserve">UE Antennas </w:t>
            </w:r>
          </w:p>
          <w:p>
            <w:pPr>
              <w:spacing w:before="120" w:after="120"/>
              <w:rPr>
                <w:rFonts w:eastAsiaTheme="minorEastAsia"/>
                <w:sz w:val="20"/>
              </w:rPr>
            </w:pPr>
            <w:r>
              <w:rPr>
                <w:rFonts w:eastAsiaTheme="minorEastAsia"/>
                <w:sz w:val="20"/>
              </w:rPr>
              <w:t>(M,N,P,Mg,Ng;Mp,Np)</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For 2T: (1,1,2,1,1;1,1)</w:t>
            </w:r>
          </w:p>
          <w:p>
            <w:pPr>
              <w:spacing w:before="120" w:after="120"/>
              <w:rPr>
                <w:rFonts w:eastAsiaTheme="minorEastAsia"/>
                <w:sz w:val="20"/>
              </w:rPr>
            </w:pPr>
            <w:r>
              <w:rPr>
                <w:rFonts w:eastAsiaTheme="minorEastAsia"/>
                <w:sz w:val="20"/>
              </w:rPr>
              <w:t>(dH, dV)=( 0.5, N/A)λ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BS antenna pattern</w:t>
            </w:r>
          </w:p>
        </w:tc>
        <w:tc>
          <w:tcPr>
            <w:tcW w:w="4000" w:type="dxa"/>
            <w:shd w:val="clear" w:color="auto" w:fill="auto"/>
            <w:vAlign w:val="center"/>
          </w:tcPr>
          <w:p>
            <w:pPr>
              <w:spacing w:before="120" w:after="120"/>
              <w:rPr>
                <w:rFonts w:eastAsiaTheme="minorEastAsia"/>
                <w:sz w:val="20"/>
              </w:rPr>
            </w:pPr>
            <w:r>
              <w:rPr>
                <w:rFonts w:eastAsiaTheme="minorEastAsia"/>
                <w:sz w:val="20"/>
              </w:rPr>
              <w:t>Ceiling-mount pattern, 5 dBi</w:t>
            </w:r>
          </w:p>
        </w:tc>
        <w:tc>
          <w:tcPr>
            <w:tcW w:w="3763" w:type="dxa"/>
            <w:shd w:val="clear" w:color="auto" w:fill="auto"/>
            <w:vAlign w:val="center"/>
          </w:tcPr>
          <w:p>
            <w:pPr>
              <w:spacing w:before="120" w:after="120"/>
              <w:rPr>
                <w:rFonts w:eastAsiaTheme="minorEastAsia"/>
                <w:sz w:val="20"/>
              </w:rPr>
            </w:pPr>
            <w:r>
              <w:rPr>
                <w:rFonts w:eastAsiaTheme="minorEastAsia"/>
                <w:sz w:val="20"/>
              </w:rPr>
              <w:t xml:space="preserve">Ceiling-mount pattern, </w:t>
            </w:r>
            <w:r>
              <w:rPr>
                <w:rFonts w:hint="eastAsia" w:eastAsiaTheme="minorEastAsia"/>
                <w:sz w:val="20"/>
              </w:rPr>
              <w:t xml:space="preserve">8 </w:t>
            </w:r>
            <w:r>
              <w:rPr>
                <w:rFonts w:eastAsiaTheme="minorEastAsia"/>
                <w:sz w:val="20"/>
              </w:rPr>
              <w:t>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UE antenna pattern</w:t>
            </w:r>
          </w:p>
        </w:tc>
        <w:tc>
          <w:tcPr>
            <w:tcW w:w="4000" w:type="dxa"/>
            <w:shd w:val="clear" w:color="auto" w:fill="auto"/>
            <w:vAlign w:val="center"/>
          </w:tcPr>
          <w:p>
            <w:pPr>
              <w:spacing w:before="120" w:after="120"/>
              <w:rPr>
                <w:rFonts w:eastAsiaTheme="minorEastAsia"/>
                <w:sz w:val="20"/>
              </w:rPr>
            </w:pPr>
            <w:r>
              <w:rPr>
                <w:rFonts w:eastAsiaTheme="minorEastAsia"/>
                <w:sz w:val="20"/>
              </w:rPr>
              <w:t>Omnidirectional, 0 dBi</w:t>
            </w:r>
          </w:p>
        </w:tc>
        <w:tc>
          <w:tcPr>
            <w:tcW w:w="3763" w:type="dxa"/>
            <w:shd w:val="clear" w:color="auto" w:fill="auto"/>
            <w:vAlign w:val="center"/>
          </w:tcPr>
          <w:p>
            <w:pPr>
              <w:spacing w:before="120" w:after="120"/>
              <w:rPr>
                <w:rFonts w:eastAsiaTheme="minorEastAsia"/>
                <w:sz w:val="20"/>
              </w:rPr>
            </w:pPr>
            <w:r>
              <w:rPr>
                <w:rFonts w:eastAsiaTheme="minorEastAsia"/>
                <w:sz w:val="20"/>
              </w:rPr>
              <w:t>Omnidirectional, 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UE max Power</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 xml:space="preserve">23 dBm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Power control</w:t>
            </w:r>
          </w:p>
        </w:tc>
        <w:tc>
          <w:tcPr>
            <w:tcW w:w="7763" w:type="dxa"/>
            <w:gridSpan w:val="2"/>
            <w:shd w:val="clear" w:color="auto" w:fill="auto"/>
            <w:vAlign w:val="center"/>
          </w:tcPr>
          <w:p>
            <w:pPr>
              <w:spacing w:before="120" w:after="120"/>
              <w:rPr>
                <w:rFonts w:eastAsiaTheme="minorEastAsia"/>
                <w:sz w:val="20"/>
              </w:rPr>
            </w:pPr>
            <w:bookmarkStart w:id="36" w:name="OLE_LINK6"/>
            <w:bookmarkStart w:id="37" w:name="OLE_LINK4"/>
            <w:r>
              <w:rPr>
                <w:rFonts w:eastAsiaTheme="minorEastAsia"/>
                <w:sz w:val="20"/>
              </w:rPr>
              <w:t>P0 = -80 dBm, alpha = 0.8</w:t>
            </w:r>
            <w:bookmarkEnd w:id="36"/>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Noise Figure</w:t>
            </w:r>
          </w:p>
        </w:tc>
        <w:tc>
          <w:tcPr>
            <w:tcW w:w="7763" w:type="dxa"/>
            <w:gridSpan w:val="2"/>
            <w:shd w:val="clear" w:color="auto" w:fill="auto"/>
            <w:vAlign w:val="center"/>
          </w:tcPr>
          <w:p>
            <w:pPr>
              <w:spacing w:before="120" w:after="120"/>
              <w:rPr>
                <w:color w:val="000000"/>
                <w:kern w:val="0"/>
                <w:sz w:val="20"/>
              </w:rPr>
            </w:pPr>
            <w:r>
              <w:rPr>
                <w:color w:val="000000"/>
                <w:kern w:val="0"/>
                <w:sz w:val="20"/>
              </w:rPr>
              <w:t>5dB for BS and 9dB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Scheduler</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MU-MIMO+PF</w:t>
            </w:r>
            <w:r>
              <w:rPr>
                <w:rFonts w:hint="eastAsia" w:eastAsiaTheme="minorEastAsia"/>
                <w:sz w:val="20"/>
              </w:rPr>
              <w:t xml:space="preserve"> / SU-MIMO 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111" w:type="dxa"/>
            <w:shd w:val="clear" w:color="auto" w:fill="auto"/>
            <w:vAlign w:val="center"/>
          </w:tcPr>
          <w:p>
            <w:pPr>
              <w:spacing w:before="120" w:after="120"/>
              <w:rPr>
                <w:rFonts w:eastAsiaTheme="minorEastAsia"/>
                <w:sz w:val="20"/>
              </w:rPr>
            </w:pPr>
            <w:r>
              <w:rPr>
                <w:rFonts w:eastAsiaTheme="minorEastAsia"/>
                <w:sz w:val="20"/>
              </w:rPr>
              <w:t>Device deployment</w:t>
            </w:r>
          </w:p>
        </w:tc>
        <w:tc>
          <w:tcPr>
            <w:tcW w:w="4000" w:type="dxa"/>
            <w:shd w:val="clear" w:color="auto" w:fill="auto"/>
            <w:vAlign w:val="center"/>
          </w:tcPr>
          <w:p>
            <w:pPr>
              <w:spacing w:before="120" w:after="120"/>
              <w:rPr>
                <w:rFonts w:eastAsiaTheme="minorEastAsia"/>
                <w:sz w:val="20"/>
              </w:rPr>
            </w:pPr>
            <w:r>
              <w:rPr>
                <w:rFonts w:eastAsiaTheme="minorEastAsia"/>
                <w:sz w:val="20"/>
              </w:rPr>
              <w:t>100% indoor</w:t>
            </w:r>
          </w:p>
        </w:tc>
        <w:tc>
          <w:tcPr>
            <w:tcW w:w="3763" w:type="dxa"/>
            <w:shd w:val="clear" w:color="auto" w:fill="auto"/>
            <w:vAlign w:val="center"/>
          </w:tcPr>
          <w:p>
            <w:pPr>
              <w:spacing w:before="120" w:after="120"/>
              <w:jc w:val="left"/>
              <w:textAlignment w:val="center"/>
              <w:rPr>
                <w:color w:val="000000"/>
                <w:sz w:val="20"/>
              </w:rPr>
            </w:pPr>
            <w:r>
              <w:rPr>
                <w:color w:val="000000"/>
                <w:kern w:val="0"/>
                <w:sz w:val="20"/>
              </w:rPr>
              <w:t>80% of users are indoor,20%of users are outdoor;</w:t>
            </w:r>
          </w:p>
          <w:p>
            <w:pPr>
              <w:spacing w:before="120" w:after="120"/>
              <w:rPr>
                <w:rFonts w:eastAsiaTheme="minorEastAsia"/>
                <w:sz w:val="20"/>
              </w:rPr>
            </w:pPr>
            <w:r>
              <w:rPr>
                <w:color w:val="000000"/>
                <w:kern w:val="0"/>
                <w:sz w:val="20"/>
              </w:rPr>
              <w:t>Use 3km/h for modeling fading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Down-tilt</w:t>
            </w:r>
          </w:p>
        </w:tc>
        <w:tc>
          <w:tcPr>
            <w:tcW w:w="4000" w:type="dxa"/>
            <w:shd w:val="clear" w:color="auto" w:fill="auto"/>
            <w:vAlign w:val="center"/>
          </w:tcPr>
          <w:p>
            <w:pPr>
              <w:spacing w:before="120" w:after="120"/>
              <w:rPr>
                <w:rFonts w:eastAsiaTheme="minorEastAsia"/>
                <w:sz w:val="20"/>
              </w:rPr>
            </w:pPr>
            <w:r>
              <w:rPr>
                <w:rFonts w:eastAsiaTheme="minorEastAsia"/>
                <w:sz w:val="20"/>
              </w:rPr>
              <w:t>90 degrees</w:t>
            </w:r>
          </w:p>
        </w:tc>
        <w:tc>
          <w:tcPr>
            <w:tcW w:w="3763" w:type="dxa"/>
            <w:shd w:val="clear" w:color="auto" w:fill="auto"/>
            <w:vAlign w:val="center"/>
          </w:tcPr>
          <w:p>
            <w:pPr>
              <w:spacing w:before="120" w:after="120"/>
              <w:rPr>
                <w:rFonts w:eastAsiaTheme="minorEastAsia"/>
                <w:sz w:val="20"/>
              </w:rPr>
            </w:pPr>
            <w:r>
              <w:rPr>
                <w:rFonts w:hint="eastAsia" w:eastAsiaTheme="minorEastAsia"/>
                <w:sz w:val="20"/>
              </w:rPr>
              <w:t>12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tcPr>
          <w:p>
            <w:pPr>
              <w:spacing w:before="120" w:after="120"/>
              <w:rPr>
                <w:rFonts w:eastAsiaTheme="minorEastAsia"/>
                <w:sz w:val="20"/>
              </w:rPr>
            </w:pPr>
            <w:r>
              <w:rPr>
                <w:color w:val="000000"/>
                <w:sz w:val="20"/>
              </w:rPr>
              <w:t>BS receiver</w:t>
            </w:r>
          </w:p>
        </w:tc>
        <w:tc>
          <w:tcPr>
            <w:tcW w:w="7763" w:type="dxa"/>
            <w:gridSpan w:val="2"/>
            <w:shd w:val="clear" w:color="auto" w:fill="auto"/>
            <w:vAlign w:val="center"/>
          </w:tcPr>
          <w:p>
            <w:pPr>
              <w:spacing w:before="120" w:after="120"/>
              <w:rPr>
                <w:color w:val="000000"/>
                <w:sz w:val="20"/>
              </w:rPr>
            </w:pPr>
            <w:r>
              <w:rPr>
                <w:color w:val="000000"/>
                <w:sz w:val="20"/>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tcPr>
          <w:p>
            <w:pPr>
              <w:spacing w:before="120" w:after="120"/>
              <w:rPr>
                <w:color w:val="000000"/>
                <w:sz w:val="20"/>
              </w:rPr>
            </w:pPr>
            <w:r>
              <w:rPr>
                <w:color w:val="000000"/>
                <w:sz w:val="20"/>
              </w:rPr>
              <w:t>UE receiver</w:t>
            </w:r>
          </w:p>
        </w:tc>
        <w:tc>
          <w:tcPr>
            <w:tcW w:w="7763" w:type="dxa"/>
            <w:gridSpan w:val="2"/>
            <w:shd w:val="clear" w:color="auto" w:fill="auto"/>
            <w:vAlign w:val="center"/>
          </w:tcPr>
          <w:p>
            <w:pPr>
              <w:spacing w:before="120" w:after="120"/>
              <w:rPr>
                <w:color w:val="000000"/>
                <w:sz w:val="20"/>
              </w:rPr>
            </w:pPr>
            <w:r>
              <w:rPr>
                <w:color w:val="000000"/>
                <w:sz w:val="20"/>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tcPr>
          <w:p>
            <w:pPr>
              <w:spacing w:before="120" w:after="120"/>
              <w:rPr>
                <w:color w:val="000000"/>
                <w:sz w:val="20"/>
              </w:rPr>
            </w:pPr>
            <w:r>
              <w:rPr>
                <w:color w:val="000000"/>
                <w:sz w:val="20"/>
              </w:rPr>
              <w:t>Channel estimation</w:t>
            </w:r>
          </w:p>
        </w:tc>
        <w:tc>
          <w:tcPr>
            <w:tcW w:w="7763" w:type="dxa"/>
            <w:gridSpan w:val="2"/>
            <w:shd w:val="clear" w:color="auto" w:fill="auto"/>
            <w:vAlign w:val="center"/>
          </w:tcPr>
          <w:p>
            <w:pPr>
              <w:spacing w:before="120" w:after="120"/>
              <w:rPr>
                <w:color w:val="000000"/>
                <w:sz w:val="20"/>
              </w:rPr>
            </w:pPr>
            <w:r>
              <w:rPr>
                <w:color w:val="000000"/>
                <w:sz w:val="20"/>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color w:val="000000"/>
                <w:sz w:val="20"/>
              </w:rPr>
            </w:pPr>
            <w:r>
              <w:rPr>
                <w:rFonts w:eastAsia="Arial"/>
                <w:sz w:val="20"/>
              </w:rPr>
              <w:t>Target BLER</w:t>
            </w:r>
          </w:p>
        </w:tc>
        <w:tc>
          <w:tcPr>
            <w:tcW w:w="7763" w:type="dxa"/>
            <w:gridSpan w:val="2"/>
            <w:shd w:val="clear" w:color="auto" w:fill="auto"/>
            <w:vAlign w:val="center"/>
          </w:tcPr>
          <w:p>
            <w:pPr>
              <w:spacing w:before="120" w:after="120"/>
              <w:rPr>
                <w:rFonts w:eastAsia="Arial"/>
                <w:sz w:val="20"/>
              </w:rPr>
            </w:pPr>
            <w:r>
              <w:rPr>
                <w:rFonts w:eastAsia="Arial"/>
                <w:sz w:val="20"/>
              </w:rPr>
              <w:t>10% for first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color w:val="000000"/>
                <w:sz w:val="20"/>
              </w:rPr>
            </w:pPr>
            <w:r>
              <w:rPr>
                <w:rFonts w:eastAsiaTheme="minorEastAsia"/>
                <w:sz w:val="20"/>
              </w:rPr>
              <w:t>UE speed</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tcPr>
          <w:p>
            <w:pPr>
              <w:spacing w:before="120" w:after="120"/>
              <w:jc w:val="left"/>
              <w:textAlignment w:val="center"/>
              <w:rPr>
                <w:rFonts w:eastAsiaTheme="minorEastAsia"/>
                <w:sz w:val="20"/>
              </w:rPr>
            </w:pPr>
            <w:r>
              <w:rPr>
                <w:color w:val="000000"/>
                <w:kern w:val="0"/>
                <w:sz w:val="20"/>
              </w:rPr>
              <w:t>HARQ/repetition</w:t>
            </w:r>
          </w:p>
        </w:tc>
        <w:tc>
          <w:tcPr>
            <w:tcW w:w="7763" w:type="dxa"/>
            <w:gridSpan w:val="2"/>
            <w:shd w:val="clear" w:color="auto" w:fill="auto"/>
          </w:tcPr>
          <w:p>
            <w:pPr>
              <w:spacing w:before="120" w:after="120"/>
              <w:jc w:val="left"/>
              <w:textAlignment w:val="center"/>
              <w:rPr>
                <w:color w:val="000000"/>
                <w:kern w:val="0"/>
                <w:sz w:val="20"/>
              </w:rPr>
            </w:pPr>
            <w:r>
              <w:rPr>
                <w:color w:val="000000"/>
                <w:kern w:val="0"/>
                <w:sz w:val="20"/>
              </w:rPr>
              <w:t>HARQ retransmission,Maximum number of retransmissions is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pStyle w:val="38"/>
              <w:spacing w:before="120" w:after="120"/>
              <w:jc w:val="left"/>
              <w:rPr>
                <w:rFonts w:ascii="Times New Roman" w:hAnsi="Times New Roman" w:cs="Times New Roman" w:eastAsiaTheme="minorEastAsia"/>
                <w:sz w:val="20"/>
                <w:szCs w:val="20"/>
                <w:lang w:eastAsia="zh-CN"/>
              </w:rPr>
            </w:pPr>
            <w:r>
              <w:rPr>
                <w:rFonts w:ascii="Times New Roman" w:hAnsi="Times New Roman" w:eastAsia="宋体" w:cs="Times New Roman"/>
                <w:sz w:val="20"/>
                <w:szCs w:val="20"/>
              </w:rPr>
              <w:t>PHY processing delay</w:t>
            </w:r>
          </w:p>
        </w:tc>
        <w:tc>
          <w:tcPr>
            <w:tcW w:w="7763" w:type="dxa"/>
            <w:gridSpan w:val="2"/>
            <w:shd w:val="clear" w:color="auto" w:fill="auto"/>
            <w:vAlign w:val="center"/>
          </w:tcPr>
          <w:p>
            <w:pPr>
              <w:pStyle w:val="38"/>
              <w:spacing w:before="120" w:after="120"/>
              <w:jc w:val="left"/>
              <w:rPr>
                <w:rFonts w:ascii="Times New Roman" w:hAnsi="Times New Roman" w:eastAsia="宋体" w:cs="Times New Roman"/>
                <w:sz w:val="20"/>
                <w:szCs w:val="20"/>
              </w:rPr>
            </w:pPr>
            <w:r>
              <w:rPr>
                <w:rFonts w:ascii="Times New Roman" w:hAnsi="Times New Roman" w:eastAsia="宋体" w:cs="Times New Roman"/>
                <w:sz w:val="20"/>
                <w:szCs w:val="20"/>
              </w:rPr>
              <w:t>UE P</w:t>
            </w:r>
            <w:r>
              <w:rPr>
                <w:rFonts w:ascii="Times New Roman" w:hAnsi="Times New Roman" w:eastAsia="宋体" w:cs="Times New Roman"/>
                <w:sz w:val="20"/>
                <w:szCs w:val="20"/>
                <w:lang w:eastAsia="zh-CN"/>
              </w:rPr>
              <w:t>U</w:t>
            </w:r>
            <w:r>
              <w:rPr>
                <w:rFonts w:ascii="Times New Roman" w:hAnsi="Times New Roman" w:eastAsia="宋体" w:cs="Times New Roman"/>
                <w:sz w:val="20"/>
                <w:szCs w:val="20"/>
              </w:rPr>
              <w:t>SCH processing Capability #1</w:t>
            </w:r>
            <w:r>
              <w:rPr>
                <w:rFonts w:ascii="Times New Roman" w:hAnsi="Times New Roman" w:eastAsia="宋体" w:cs="Times New Roman"/>
                <w:sz w:val="20"/>
                <w:szCs w:val="20"/>
                <w:lang w:eastAsia="zh-CN"/>
              </w:rPr>
              <w:t>,N2=12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pStyle w:val="38"/>
              <w:spacing w:before="120" w:after="120"/>
              <w:jc w:val="left"/>
              <w:rPr>
                <w:rFonts w:ascii="Times New Roman" w:hAnsi="Times New Roman" w:cs="Times New Roman" w:eastAsiaTheme="minorEastAsia"/>
                <w:sz w:val="20"/>
                <w:szCs w:val="20"/>
                <w:lang w:eastAsia="zh-CN"/>
              </w:rPr>
            </w:pPr>
            <w:r>
              <w:rPr>
                <w:rFonts w:ascii="Times New Roman" w:hAnsi="Times New Roman" w:eastAsia="宋体" w:cs="Times New Roman"/>
                <w:sz w:val="20"/>
                <w:szCs w:val="20"/>
                <w:lang w:eastAsia="zh-CN"/>
              </w:rPr>
              <w:t>DMRE</w:t>
            </w:r>
            <w:r>
              <w:rPr>
                <w:rFonts w:ascii="Times New Roman" w:hAnsi="Times New Roman" w:eastAsia="宋体" w:cs="Times New Roman"/>
                <w:sz w:val="20"/>
                <w:szCs w:val="20"/>
              </w:rPr>
              <w:t xml:space="preserve"> overhead</w:t>
            </w:r>
          </w:p>
        </w:tc>
        <w:tc>
          <w:tcPr>
            <w:tcW w:w="7763" w:type="dxa"/>
            <w:gridSpan w:val="2"/>
            <w:shd w:val="clear" w:color="auto" w:fill="auto"/>
            <w:vAlign w:val="center"/>
          </w:tcPr>
          <w:p>
            <w:pPr>
              <w:pStyle w:val="38"/>
              <w:spacing w:before="120" w:after="120"/>
              <w:jc w:val="left"/>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4RE</w:t>
            </w:r>
          </w:p>
        </w:tc>
      </w:tr>
      <w:bookmarkEnd w:id="34"/>
      <w:bookmarkEnd w:id="35"/>
    </w:tbl>
    <w:p>
      <w:pPr>
        <w:spacing w:before="120" w:after="120"/>
        <w:jc w:val="left"/>
      </w:pPr>
    </w:p>
    <w:p>
      <w:pPr>
        <w:pStyle w:val="3"/>
        <w:numPr>
          <w:ilvl w:val="0"/>
          <w:numId w:val="0"/>
        </w:numPr>
        <w:spacing w:before="120" w:after="120"/>
        <w:ind w:right="210"/>
        <w:rPr>
          <w:rFonts w:eastAsia="宋体"/>
        </w:rPr>
      </w:pPr>
      <w:r>
        <w:rPr>
          <w:rFonts w:hint="eastAsia" w:eastAsia="宋体"/>
        </w:rPr>
        <w:t>B P</w:t>
      </w:r>
      <w:r>
        <w:rPr>
          <w:rFonts w:eastAsia="宋体"/>
        </w:rPr>
        <w:t>ower model</w:t>
      </w:r>
    </w:p>
    <w:p>
      <w:pPr>
        <w:spacing w:before="120" w:after="120"/>
        <w:jc w:val="center"/>
      </w:pPr>
      <w:r>
        <w:t>Table B</w:t>
      </w:r>
      <w:r>
        <w:rPr>
          <w:rFonts w:hint="eastAsia"/>
        </w:rPr>
        <w:t>.</w:t>
      </w:r>
      <w:r>
        <w:t>1 Power model for DL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0" w:beforeLines="0" w:after="0" w:afterLines="0"/>
              <w:jc w:val="center"/>
              <w:rPr>
                <w:sz w:val="18"/>
                <w:szCs w:val="18"/>
              </w:rPr>
            </w:pPr>
            <w:r>
              <w:rPr>
                <w:sz w:val="18"/>
                <w:szCs w:val="18"/>
              </w:rPr>
              <w:t>Power state</w:t>
            </w:r>
          </w:p>
        </w:tc>
        <w:tc>
          <w:tcPr>
            <w:tcW w:w="2469" w:type="dxa"/>
            <w:tcBorders>
              <w:top w:val="single" w:color="auto" w:sz="4" w:space="0"/>
              <w:left w:val="single" w:color="auto" w:sz="4" w:space="0"/>
              <w:bottom w:val="single" w:color="auto" w:sz="4" w:space="0"/>
              <w:right w:val="single" w:color="auto" w:sz="4" w:space="0"/>
            </w:tcBorders>
          </w:tcPr>
          <w:p>
            <w:pPr>
              <w:spacing w:before="0" w:beforeLines="0" w:after="0" w:afterLines="0"/>
              <w:jc w:val="center"/>
              <w:rPr>
                <w:sz w:val="18"/>
                <w:szCs w:val="18"/>
              </w:rPr>
            </w:pPr>
            <w:r>
              <w:rPr>
                <w:sz w:val="18"/>
                <w:szCs w:val="18"/>
              </w:rPr>
              <w:t>Relative Power(1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0" w:beforeLines="0" w:after="0" w:afterLines="0"/>
              <w:jc w:val="center"/>
              <w:rPr>
                <w:sz w:val="18"/>
                <w:szCs w:val="18"/>
              </w:rPr>
            </w:pPr>
            <w:r>
              <w:rPr>
                <w:sz w:val="18"/>
                <w:szCs w:val="18"/>
              </w:rPr>
              <w:t>PDCCH-only</w:t>
            </w:r>
          </w:p>
        </w:tc>
        <w:tc>
          <w:tcPr>
            <w:tcW w:w="2469" w:type="dxa"/>
            <w:tcBorders>
              <w:top w:val="single" w:color="auto" w:sz="4" w:space="0"/>
              <w:left w:val="single" w:color="auto" w:sz="4" w:space="0"/>
              <w:bottom w:val="single" w:color="auto" w:sz="4" w:space="0"/>
              <w:right w:val="single" w:color="auto" w:sz="4" w:space="0"/>
            </w:tcBorders>
          </w:tcPr>
          <w:p>
            <w:pPr>
              <w:spacing w:before="0" w:beforeLines="0" w:after="0" w:afterLines="0"/>
              <w:jc w:val="center"/>
              <w:rPr>
                <w:sz w:val="18"/>
                <w:szCs w:val="18"/>
              </w:rPr>
            </w:pPr>
            <w:r>
              <w:rPr>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0" w:beforeLines="0" w:after="0" w:afterLines="0"/>
              <w:jc w:val="center"/>
              <w:rPr>
                <w:sz w:val="18"/>
                <w:szCs w:val="18"/>
              </w:rPr>
            </w:pPr>
            <w:r>
              <w:rPr>
                <w:sz w:val="18"/>
                <w:szCs w:val="18"/>
              </w:rPr>
              <w:t>PDCCH+PDSCH</w:t>
            </w:r>
          </w:p>
        </w:tc>
        <w:tc>
          <w:tcPr>
            <w:tcW w:w="2469" w:type="dxa"/>
            <w:tcBorders>
              <w:top w:val="single" w:color="auto" w:sz="4" w:space="0"/>
              <w:left w:val="single" w:color="auto" w:sz="4" w:space="0"/>
              <w:bottom w:val="single" w:color="auto" w:sz="4" w:space="0"/>
              <w:right w:val="single" w:color="auto" w:sz="4" w:space="0"/>
            </w:tcBorders>
          </w:tcPr>
          <w:p>
            <w:pPr>
              <w:spacing w:before="0" w:beforeLines="0" w:after="0" w:afterLines="0"/>
              <w:jc w:val="center"/>
              <w:rPr>
                <w:sz w:val="18"/>
                <w:szCs w:val="18"/>
              </w:rPr>
            </w:pPr>
            <w:r>
              <w:rPr>
                <w:sz w:val="18"/>
                <w:szCs w:val="1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0" w:beforeLines="0" w:after="0" w:afterLines="0"/>
              <w:jc w:val="center"/>
              <w:rPr>
                <w:sz w:val="18"/>
                <w:szCs w:val="18"/>
              </w:rPr>
            </w:pPr>
            <w:r>
              <w:rPr>
                <w:sz w:val="18"/>
                <w:szCs w:val="18"/>
              </w:rPr>
              <w:t>Micro sleep</w:t>
            </w:r>
          </w:p>
        </w:tc>
        <w:tc>
          <w:tcPr>
            <w:tcW w:w="2469" w:type="dxa"/>
            <w:tcBorders>
              <w:top w:val="single" w:color="auto" w:sz="4" w:space="0"/>
              <w:left w:val="single" w:color="auto" w:sz="4" w:space="0"/>
              <w:bottom w:val="single" w:color="auto" w:sz="4" w:space="0"/>
              <w:right w:val="single" w:color="auto" w:sz="4" w:space="0"/>
            </w:tcBorders>
          </w:tcPr>
          <w:p>
            <w:pPr>
              <w:spacing w:before="0" w:beforeLines="0" w:after="0" w:afterLines="0"/>
              <w:jc w:val="center"/>
              <w:rPr>
                <w:sz w:val="18"/>
                <w:szCs w:val="18"/>
              </w:rPr>
            </w:pPr>
            <w:r>
              <w:rPr>
                <w:sz w:val="18"/>
                <w:szCs w:val="1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0" w:beforeLines="0" w:after="0" w:afterLines="0"/>
              <w:jc w:val="center"/>
              <w:rPr>
                <w:sz w:val="18"/>
                <w:szCs w:val="18"/>
              </w:rPr>
            </w:pPr>
            <w:r>
              <w:rPr>
                <w:sz w:val="18"/>
                <w:szCs w:val="18"/>
              </w:rPr>
              <w:t>Light sleep</w:t>
            </w:r>
          </w:p>
        </w:tc>
        <w:tc>
          <w:tcPr>
            <w:tcW w:w="2469" w:type="dxa"/>
            <w:tcBorders>
              <w:top w:val="single" w:color="auto" w:sz="4" w:space="0"/>
              <w:left w:val="single" w:color="auto" w:sz="4" w:space="0"/>
              <w:bottom w:val="single" w:color="auto" w:sz="4" w:space="0"/>
              <w:right w:val="single" w:color="auto" w:sz="4" w:space="0"/>
            </w:tcBorders>
          </w:tcPr>
          <w:p>
            <w:pPr>
              <w:spacing w:before="0" w:beforeLines="0" w:after="0" w:afterLines="0"/>
              <w:jc w:val="center"/>
              <w:rPr>
                <w:sz w:val="18"/>
                <w:szCs w:val="18"/>
              </w:rPr>
            </w:pPr>
            <w:r>
              <w:rPr>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0" w:beforeLines="0" w:after="0" w:afterLines="0"/>
              <w:jc w:val="center"/>
              <w:rPr>
                <w:sz w:val="18"/>
                <w:szCs w:val="18"/>
              </w:rPr>
            </w:pPr>
            <w:r>
              <w:rPr>
                <w:sz w:val="18"/>
                <w:szCs w:val="18"/>
              </w:rPr>
              <w:t>Deep sleep</w:t>
            </w:r>
          </w:p>
        </w:tc>
        <w:tc>
          <w:tcPr>
            <w:tcW w:w="2469" w:type="dxa"/>
            <w:tcBorders>
              <w:top w:val="single" w:color="auto" w:sz="4" w:space="0"/>
              <w:left w:val="single" w:color="auto" w:sz="4" w:space="0"/>
              <w:bottom w:val="single" w:color="auto" w:sz="4" w:space="0"/>
              <w:right w:val="single" w:color="auto" w:sz="4" w:space="0"/>
            </w:tcBorders>
          </w:tcPr>
          <w:p>
            <w:pPr>
              <w:spacing w:before="0" w:beforeLines="0" w:after="0" w:afterLines="0"/>
              <w:jc w:val="center"/>
              <w:rPr>
                <w:sz w:val="18"/>
                <w:szCs w:val="18"/>
              </w:rPr>
            </w:pPr>
            <w:r>
              <w:rPr>
                <w:sz w:val="18"/>
                <w:szCs w:val="18"/>
              </w:rPr>
              <w:t>1</w:t>
            </w:r>
          </w:p>
        </w:tc>
      </w:tr>
    </w:tbl>
    <w:p>
      <w:pPr>
        <w:spacing w:before="120" w:after="120"/>
        <w:jc w:val="center"/>
      </w:pPr>
    </w:p>
    <w:p>
      <w:pPr>
        <w:spacing w:before="120" w:after="120"/>
        <w:jc w:val="center"/>
      </w:pPr>
      <w:r>
        <w:t>Table B</w:t>
      </w:r>
      <w:r>
        <w:rPr>
          <w:rFonts w:hint="eastAsia"/>
        </w:rPr>
        <w:t>.</w:t>
      </w:r>
      <w:r>
        <w:t>2 Power model for UL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2"/>
        <w:gridCol w:w="657"/>
        <w:gridCol w:w="747"/>
        <w:gridCol w:w="3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before="0" w:beforeLines="0" w:after="0" w:afterLines="0"/>
              <w:jc w:val="center"/>
              <w:rPr>
                <w:sz w:val="18"/>
                <w:szCs w:val="18"/>
              </w:rPr>
            </w:pPr>
            <w:r>
              <w:rPr>
                <w:sz w:val="18"/>
                <w:szCs w:val="18"/>
              </w:rPr>
              <w:t>Power state</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spacing w:before="0" w:beforeLines="0" w:after="0" w:afterLines="0"/>
              <w:jc w:val="center"/>
              <w:rPr>
                <w:sz w:val="18"/>
                <w:szCs w:val="18"/>
              </w:rPr>
            </w:pPr>
            <w:r>
              <w:rPr>
                <w:sz w:val="18"/>
                <w:szCs w:val="18"/>
              </w:rPr>
              <w:t>Relative Power(1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0" w:afterLines="0" w:line="240" w:lineRule="auto"/>
              <w:jc w:val="left"/>
              <w:rPr>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spacing w:before="0" w:beforeLines="0" w:after="0" w:afterLines="0"/>
              <w:jc w:val="center"/>
              <w:rPr>
                <w:sz w:val="18"/>
                <w:szCs w:val="18"/>
              </w:rPr>
            </w:pPr>
            <w:r>
              <w:rPr>
                <w:sz w:val="18"/>
                <w:szCs w:val="18"/>
              </w:rPr>
              <w:t>0dBm</w:t>
            </w:r>
          </w:p>
        </w:tc>
        <w:tc>
          <w:tcPr>
            <w:tcW w:w="0" w:type="auto"/>
            <w:tcBorders>
              <w:top w:val="single" w:color="auto" w:sz="4" w:space="0"/>
              <w:left w:val="single" w:color="auto" w:sz="4" w:space="0"/>
              <w:bottom w:val="single" w:color="auto" w:sz="4" w:space="0"/>
              <w:right w:val="single" w:color="auto" w:sz="4" w:space="0"/>
            </w:tcBorders>
            <w:vAlign w:val="center"/>
          </w:tcPr>
          <w:p>
            <w:pPr>
              <w:spacing w:before="0" w:beforeLines="0" w:after="0" w:afterLines="0"/>
              <w:jc w:val="center"/>
              <w:rPr>
                <w:sz w:val="18"/>
                <w:szCs w:val="18"/>
              </w:rPr>
            </w:pPr>
            <w:r>
              <w:rPr>
                <w:sz w:val="18"/>
                <w:szCs w:val="18"/>
              </w:rPr>
              <w:t>23dBm</w:t>
            </w:r>
          </w:p>
        </w:tc>
        <w:tc>
          <w:tcPr>
            <w:tcW w:w="0" w:type="auto"/>
            <w:tcBorders>
              <w:top w:val="single" w:color="auto" w:sz="4" w:space="0"/>
              <w:left w:val="single" w:color="auto" w:sz="4" w:space="0"/>
              <w:bottom w:val="single" w:color="auto" w:sz="4" w:space="0"/>
              <w:right w:val="single" w:color="auto" w:sz="4" w:space="0"/>
            </w:tcBorders>
            <w:vAlign w:val="center"/>
          </w:tcPr>
          <w:p>
            <w:pPr>
              <w:spacing w:before="0" w:beforeLines="0" w:after="0" w:afterLines="0"/>
              <w:jc w:val="center"/>
              <w:rPr>
                <w:sz w:val="18"/>
                <w:szCs w:val="18"/>
              </w:rPr>
            </w:pPr>
            <w:r>
              <w:rPr>
                <w:sz w:val="18"/>
                <w:szCs w:val="18"/>
              </w:rPr>
              <w:t>Other Tx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before="0" w:beforeLines="0" w:after="0" w:afterLines="0"/>
              <w:jc w:val="center"/>
              <w:rPr>
                <w:sz w:val="18"/>
                <w:szCs w:val="18"/>
              </w:rPr>
            </w:pPr>
            <w:r>
              <w:rPr>
                <w:sz w:val="18"/>
                <w:szCs w:val="18"/>
              </w:rPr>
              <w:t>UL(long PUCCH or PUSCH)</w:t>
            </w:r>
          </w:p>
        </w:tc>
        <w:tc>
          <w:tcPr>
            <w:tcW w:w="0" w:type="auto"/>
            <w:tcBorders>
              <w:top w:val="single" w:color="auto" w:sz="4" w:space="0"/>
              <w:left w:val="single" w:color="auto" w:sz="4" w:space="0"/>
              <w:bottom w:val="single" w:color="auto" w:sz="4" w:space="0"/>
              <w:right w:val="single" w:color="auto" w:sz="4" w:space="0"/>
            </w:tcBorders>
            <w:vAlign w:val="center"/>
          </w:tcPr>
          <w:p>
            <w:pPr>
              <w:spacing w:before="0" w:beforeLines="0" w:after="0" w:afterLines="0"/>
              <w:jc w:val="center"/>
              <w:rPr>
                <w:sz w:val="18"/>
                <w:szCs w:val="18"/>
              </w:rPr>
            </w:pPr>
            <w:r>
              <w:rPr>
                <w:sz w:val="18"/>
                <w:szCs w:val="18"/>
              </w:rPr>
              <w:t>250</w:t>
            </w:r>
          </w:p>
        </w:tc>
        <w:tc>
          <w:tcPr>
            <w:tcW w:w="0" w:type="auto"/>
            <w:tcBorders>
              <w:top w:val="single" w:color="auto" w:sz="4" w:space="0"/>
              <w:left w:val="single" w:color="auto" w:sz="4" w:space="0"/>
              <w:bottom w:val="single" w:color="auto" w:sz="4" w:space="0"/>
              <w:right w:val="single" w:color="auto" w:sz="4" w:space="0"/>
            </w:tcBorders>
            <w:vAlign w:val="center"/>
          </w:tcPr>
          <w:p>
            <w:pPr>
              <w:spacing w:before="0" w:beforeLines="0" w:after="0" w:afterLines="0"/>
              <w:jc w:val="center"/>
              <w:rPr>
                <w:sz w:val="18"/>
                <w:szCs w:val="18"/>
              </w:rPr>
            </w:pPr>
            <w:r>
              <w:rPr>
                <w:sz w:val="18"/>
                <w:szCs w:val="18"/>
              </w:rPr>
              <w:t>700</w:t>
            </w:r>
          </w:p>
        </w:tc>
        <w:tc>
          <w:tcPr>
            <w:tcW w:w="0" w:type="auto"/>
            <w:tcBorders>
              <w:top w:val="single" w:color="auto" w:sz="4" w:space="0"/>
              <w:left w:val="single" w:color="auto" w:sz="4" w:space="0"/>
              <w:bottom w:val="single" w:color="auto" w:sz="4" w:space="0"/>
              <w:right w:val="single" w:color="auto" w:sz="4" w:space="0"/>
            </w:tcBorders>
            <w:vAlign w:val="center"/>
          </w:tcPr>
          <w:p>
            <w:pPr>
              <w:spacing w:before="0" w:beforeLines="0" w:after="0" w:afterLines="0"/>
              <w:jc w:val="center"/>
              <w:rPr>
                <w:sz w:val="18"/>
                <w:szCs w:val="18"/>
              </w:rPr>
            </w:pPr>
            <w:r>
              <w:rPr>
                <w:sz w:val="18"/>
                <w:szCs w:val="18"/>
              </w:rPr>
              <w:t>Obtained by linear function or step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before="0" w:beforeLines="0" w:after="0" w:afterLines="0"/>
              <w:jc w:val="center"/>
              <w:rPr>
                <w:sz w:val="18"/>
                <w:szCs w:val="18"/>
              </w:rPr>
            </w:pPr>
            <w:r>
              <w:rPr>
                <w:sz w:val="18"/>
                <w:szCs w:val="18"/>
              </w:rPr>
              <w:t>PDCCH+PUSCH</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spacing w:before="0" w:beforeLines="0" w:after="0" w:afterLines="0"/>
              <w:jc w:val="center"/>
              <w:rPr>
                <w:sz w:val="18"/>
                <w:szCs w:val="18"/>
              </w:rPr>
            </w:pPr>
            <w:r>
              <w:rPr>
                <w:sz w:val="18"/>
                <w:szCs w:val="18"/>
              </w:rPr>
              <w:t>Sum(PDCCH-only,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before="0" w:beforeLines="0" w:after="0" w:afterLines="0"/>
              <w:jc w:val="center"/>
              <w:rPr>
                <w:sz w:val="18"/>
                <w:szCs w:val="18"/>
              </w:rPr>
            </w:pPr>
            <w:r>
              <w:rPr>
                <w:sz w:val="18"/>
                <w:szCs w:val="18"/>
              </w:rPr>
              <w:t>PDCCH+PDSCH+PUSCH</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spacing w:before="0" w:beforeLines="0" w:after="0" w:afterLines="0"/>
              <w:jc w:val="center"/>
              <w:rPr>
                <w:sz w:val="18"/>
                <w:szCs w:val="18"/>
              </w:rPr>
            </w:pPr>
            <w:r>
              <w:rPr>
                <w:sz w:val="18"/>
                <w:szCs w:val="18"/>
              </w:rPr>
              <w:t>Sum(PDCCH+PDSCH, PUSCH)</w:t>
            </w:r>
          </w:p>
        </w:tc>
      </w:tr>
    </w:tbl>
    <w:p>
      <w:pPr>
        <w:spacing w:before="120" w:after="120"/>
        <w:ind w:left="420"/>
      </w:pPr>
      <w:r>
        <w:rPr>
          <w:rFonts w:hint="eastAsia"/>
        </w:rPr>
        <w:t xml:space="preserve">Note: Power model of </w:t>
      </w:r>
      <w:r>
        <w:t xml:space="preserve">“PDCCH+PUSCH” is the sum of “PDCCH-only” power consumption and “PUSCH” power consumption. </w:t>
      </w:r>
      <w:r>
        <w:rPr>
          <w:rFonts w:hint="eastAsia"/>
        </w:rPr>
        <w:t xml:space="preserve">Power model of </w:t>
      </w:r>
      <w:r>
        <w:t>“PDCCH+PDSCH+PUSCH” is the sum of “PDCCH+PDSCH” power consumption and “PUSCH” power consumption.</w:t>
      </w:r>
    </w:p>
    <w:p>
      <w:pPr>
        <w:spacing w:before="120" w:after="120"/>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w:pict>
        <v:shape id="_x0000_s2049" o:spid="_x0000_s2049" o:spt="202" type="#_x0000_t202" style="position:absolute;left:0pt;margin-top:0pt;height:22.35pt;width:4.5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">
          <v:path/>
          <v:fill on="f" focussize="0,0"/>
          <v:stroke on="f" weight="0.5pt" joinstyle="miter"/>
          <v:imagedata o:title=""/>
          <o:lock v:ext="edit"/>
          <v:textbox inset="0mm,0mm,0mm,0mm" style="mso-fit-shape-to-text:t;">
            <w:txbxContent>
              <w:p>
                <w:pPr>
                  <w:pStyle w:val="11"/>
                  <w:spacing w:before="120" w:after="120"/>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0464A6"/>
    <w:multiLevelType w:val="singleLevel"/>
    <w:tmpl w:val="A00464A6"/>
    <w:lvl w:ilvl="0" w:tentative="0">
      <w:start w:val="1"/>
      <w:numFmt w:val="bullet"/>
      <w:lvlText w:val=""/>
      <w:lvlJc w:val="left"/>
      <w:pPr>
        <w:ind w:left="420" w:hanging="420"/>
      </w:pPr>
      <w:rPr>
        <w:rFonts w:hint="default" w:ascii="Wingdings" w:hAnsi="Wingdings"/>
      </w:rPr>
    </w:lvl>
  </w:abstractNum>
  <w:abstractNum w:abstractNumId="1">
    <w:nsid w:val="AB34B193"/>
    <w:multiLevelType w:val="singleLevel"/>
    <w:tmpl w:val="AB34B193"/>
    <w:lvl w:ilvl="0" w:tentative="0">
      <w:start w:val="1"/>
      <w:numFmt w:val="decimal"/>
      <w:pStyle w:val="5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2">
    <w:nsid w:val="BD0CA652"/>
    <w:multiLevelType w:val="multilevel"/>
    <w:tmpl w:val="BD0CA652"/>
    <w:lvl w:ilvl="0" w:tentative="0">
      <w:start w:val="1"/>
      <w:numFmt w:val="decimal"/>
      <w:pStyle w:val="5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C334B71B"/>
    <w:multiLevelType w:val="singleLevel"/>
    <w:tmpl w:val="C334B71B"/>
    <w:lvl w:ilvl="0" w:tentative="0">
      <w:start w:val="1"/>
      <w:numFmt w:val="bullet"/>
      <w:lvlText w:val=""/>
      <w:lvlJc w:val="left"/>
      <w:pPr>
        <w:ind w:left="420" w:hanging="420"/>
      </w:pPr>
      <w:rPr>
        <w:rFonts w:hint="default" w:ascii="Wingdings" w:hAnsi="Wingdings"/>
      </w:rPr>
    </w:lvl>
  </w:abstractNum>
  <w:abstractNum w:abstractNumId="4">
    <w:nsid w:val="F2EC87FE"/>
    <w:multiLevelType w:val="singleLevel"/>
    <w:tmpl w:val="F2EC87FE"/>
    <w:lvl w:ilvl="0" w:tentative="0">
      <w:start w:val="1"/>
      <w:numFmt w:val="bullet"/>
      <w:lvlText w:val=""/>
      <w:lvlJc w:val="left"/>
      <w:pPr>
        <w:tabs>
          <w:tab w:val="left" w:pos="420"/>
        </w:tabs>
        <w:ind w:left="840" w:hanging="420"/>
      </w:pPr>
      <w:rPr>
        <w:rFonts w:hint="default" w:ascii="Wingdings" w:hAnsi="Wingdings"/>
      </w:rPr>
    </w:lvl>
  </w:abstractNum>
  <w:abstractNum w:abstractNumId="5">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0C3841CF"/>
    <w:multiLevelType w:val="singleLevel"/>
    <w:tmpl w:val="0C3841CF"/>
    <w:lvl w:ilvl="0" w:tentative="0">
      <w:start w:val="1"/>
      <w:numFmt w:val="bullet"/>
      <w:lvlText w:val=""/>
      <w:lvlJc w:val="left"/>
      <w:pPr>
        <w:tabs>
          <w:tab w:val="left" w:pos="420"/>
        </w:tabs>
        <w:ind w:left="840" w:hanging="420"/>
      </w:pPr>
      <w:rPr>
        <w:rFonts w:hint="default" w:ascii="Wingdings" w:hAnsi="Wingdings"/>
      </w:rPr>
    </w:lvl>
  </w:abstractNum>
  <w:abstractNum w:abstractNumId="7">
    <w:nsid w:val="340A12E4"/>
    <w:multiLevelType w:val="multilevel"/>
    <w:tmpl w:val="340A12E4"/>
    <w:lvl w:ilvl="0" w:tentative="0">
      <w:start w:val="1"/>
      <w:numFmt w:val="lowerLetter"/>
      <w:lvlText w:val="(%1)"/>
      <w:lvlJc w:val="left"/>
      <w:pPr>
        <w:ind w:left="720" w:hanging="360"/>
      </w:pPr>
      <w:rPr>
        <w:rFonts w:hint="default" w:ascii="Times New Roman" w:hAnsi="Times New Roman" w:eastAsia="Times New Roman"/>
        <w:sz w:val="20"/>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8">
    <w:nsid w:val="3A877D64"/>
    <w:multiLevelType w:val="singleLevel"/>
    <w:tmpl w:val="3A877D64"/>
    <w:lvl w:ilvl="0" w:tentative="0">
      <w:start w:val="1"/>
      <w:numFmt w:val="decimal"/>
      <w:pStyle w:val="28"/>
      <w:lvlText w:val="[%1]"/>
      <w:lvlJc w:val="left"/>
      <w:pPr>
        <w:tabs>
          <w:tab w:val="left" w:pos="360"/>
        </w:tabs>
        <w:ind w:left="360" w:hanging="360"/>
      </w:pPr>
    </w:lvl>
  </w:abstractNum>
  <w:abstractNum w:abstractNumId="9">
    <w:nsid w:val="596B3960"/>
    <w:multiLevelType w:val="singleLevel"/>
    <w:tmpl w:val="596B3960"/>
    <w:lvl w:ilvl="0" w:tentative="0">
      <w:start w:val="1"/>
      <w:numFmt w:val="bullet"/>
      <w:lvlText w:val=""/>
      <w:lvlJc w:val="left"/>
      <w:pPr>
        <w:tabs>
          <w:tab w:val="left" w:pos="420"/>
        </w:tabs>
        <w:ind w:left="840" w:hanging="420"/>
      </w:pPr>
      <w:rPr>
        <w:rFonts w:hint="default" w:ascii="Wingdings" w:hAnsi="Wingdings"/>
      </w:rPr>
    </w:lvl>
  </w:abstractNum>
  <w:abstractNum w:abstractNumId="10">
    <w:nsid w:val="670331E1"/>
    <w:multiLevelType w:val="multilevel"/>
    <w:tmpl w:val="670331E1"/>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8"/>
  </w:num>
  <w:num w:numId="3">
    <w:abstractNumId w:val="1"/>
  </w:num>
  <w:num w:numId="4">
    <w:abstractNumId w:val="2"/>
  </w:num>
  <w:num w:numId="5">
    <w:abstractNumId w:val="10"/>
  </w:num>
  <w:num w:numId="6">
    <w:abstractNumId w:val="3"/>
  </w:num>
  <w:num w:numId="7">
    <w:abstractNumId w:val="4"/>
  </w:num>
  <w:num w:numId="8">
    <w:abstractNumId w:val="7"/>
  </w:num>
  <w:num w:numId="9">
    <w:abstractNumId w:val="6"/>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72FB0"/>
    <w:rsid w:val="000A15BE"/>
    <w:rsid w:val="000D0462"/>
    <w:rsid w:val="000F28CA"/>
    <w:rsid w:val="00103906"/>
    <w:rsid w:val="00142961"/>
    <w:rsid w:val="001470AA"/>
    <w:rsid w:val="00153BF7"/>
    <w:rsid w:val="00172A27"/>
    <w:rsid w:val="00195F46"/>
    <w:rsid w:val="001B3634"/>
    <w:rsid w:val="001C196F"/>
    <w:rsid w:val="001E125B"/>
    <w:rsid w:val="001F415E"/>
    <w:rsid w:val="001F6E58"/>
    <w:rsid w:val="00212872"/>
    <w:rsid w:val="00216169"/>
    <w:rsid w:val="00224A1A"/>
    <w:rsid w:val="00227DF5"/>
    <w:rsid w:val="002320CA"/>
    <w:rsid w:val="002401EC"/>
    <w:rsid w:val="00243B44"/>
    <w:rsid w:val="00247A67"/>
    <w:rsid w:val="0026766E"/>
    <w:rsid w:val="002748A9"/>
    <w:rsid w:val="00282069"/>
    <w:rsid w:val="002B4661"/>
    <w:rsid w:val="002C4448"/>
    <w:rsid w:val="002F0E7A"/>
    <w:rsid w:val="002F5687"/>
    <w:rsid w:val="002F5A8D"/>
    <w:rsid w:val="00303936"/>
    <w:rsid w:val="00314748"/>
    <w:rsid w:val="00316046"/>
    <w:rsid w:val="00317501"/>
    <w:rsid w:val="00322EE2"/>
    <w:rsid w:val="00325902"/>
    <w:rsid w:val="00332D30"/>
    <w:rsid w:val="0033573E"/>
    <w:rsid w:val="00335FF9"/>
    <w:rsid w:val="00340631"/>
    <w:rsid w:val="003466BB"/>
    <w:rsid w:val="0035253F"/>
    <w:rsid w:val="003704FF"/>
    <w:rsid w:val="00370D7F"/>
    <w:rsid w:val="00372A00"/>
    <w:rsid w:val="00373667"/>
    <w:rsid w:val="00376EEB"/>
    <w:rsid w:val="003872BB"/>
    <w:rsid w:val="00396F31"/>
    <w:rsid w:val="003A1DCE"/>
    <w:rsid w:val="003A6BBE"/>
    <w:rsid w:val="003A7EAD"/>
    <w:rsid w:val="003D44C6"/>
    <w:rsid w:val="003F7415"/>
    <w:rsid w:val="004209E1"/>
    <w:rsid w:val="0042238B"/>
    <w:rsid w:val="004545A5"/>
    <w:rsid w:val="004724B4"/>
    <w:rsid w:val="00472B06"/>
    <w:rsid w:val="00477655"/>
    <w:rsid w:val="00482706"/>
    <w:rsid w:val="00490434"/>
    <w:rsid w:val="004A5D1D"/>
    <w:rsid w:val="004A699E"/>
    <w:rsid w:val="004B44A9"/>
    <w:rsid w:val="004C1A54"/>
    <w:rsid w:val="00503921"/>
    <w:rsid w:val="00507A00"/>
    <w:rsid w:val="005176E7"/>
    <w:rsid w:val="00523589"/>
    <w:rsid w:val="00523668"/>
    <w:rsid w:val="00523AD9"/>
    <w:rsid w:val="00523D5E"/>
    <w:rsid w:val="00527033"/>
    <w:rsid w:val="00531B5B"/>
    <w:rsid w:val="00532500"/>
    <w:rsid w:val="00547723"/>
    <w:rsid w:val="00572F6E"/>
    <w:rsid w:val="00574776"/>
    <w:rsid w:val="0058526A"/>
    <w:rsid w:val="00593818"/>
    <w:rsid w:val="005A05C6"/>
    <w:rsid w:val="005C6B42"/>
    <w:rsid w:val="00611232"/>
    <w:rsid w:val="00614E28"/>
    <w:rsid w:val="00617EE7"/>
    <w:rsid w:val="00620D7C"/>
    <w:rsid w:val="00624C23"/>
    <w:rsid w:val="00637D11"/>
    <w:rsid w:val="00640B94"/>
    <w:rsid w:val="00646EAA"/>
    <w:rsid w:val="006501AA"/>
    <w:rsid w:val="006922EF"/>
    <w:rsid w:val="00694FB9"/>
    <w:rsid w:val="006C2229"/>
    <w:rsid w:val="006C69C1"/>
    <w:rsid w:val="006D11DE"/>
    <w:rsid w:val="006D3D89"/>
    <w:rsid w:val="006E01C3"/>
    <w:rsid w:val="00700636"/>
    <w:rsid w:val="00701BF9"/>
    <w:rsid w:val="007036F7"/>
    <w:rsid w:val="0070691A"/>
    <w:rsid w:val="0070693A"/>
    <w:rsid w:val="00717A38"/>
    <w:rsid w:val="0073053B"/>
    <w:rsid w:val="00735DC1"/>
    <w:rsid w:val="007427BB"/>
    <w:rsid w:val="007440A2"/>
    <w:rsid w:val="007501AC"/>
    <w:rsid w:val="0076682E"/>
    <w:rsid w:val="0077581A"/>
    <w:rsid w:val="0077761A"/>
    <w:rsid w:val="00784828"/>
    <w:rsid w:val="00785A2A"/>
    <w:rsid w:val="007A0CD8"/>
    <w:rsid w:val="007C4328"/>
    <w:rsid w:val="007C440F"/>
    <w:rsid w:val="007E4A23"/>
    <w:rsid w:val="00802A15"/>
    <w:rsid w:val="00810C42"/>
    <w:rsid w:val="0084332A"/>
    <w:rsid w:val="00852635"/>
    <w:rsid w:val="0085443B"/>
    <w:rsid w:val="00857E93"/>
    <w:rsid w:val="008652E8"/>
    <w:rsid w:val="00870679"/>
    <w:rsid w:val="00870E40"/>
    <w:rsid w:val="00886E49"/>
    <w:rsid w:val="00886EA7"/>
    <w:rsid w:val="00892B4C"/>
    <w:rsid w:val="00893268"/>
    <w:rsid w:val="0089344F"/>
    <w:rsid w:val="008B3130"/>
    <w:rsid w:val="008B547D"/>
    <w:rsid w:val="008B5C48"/>
    <w:rsid w:val="008F255E"/>
    <w:rsid w:val="00903A35"/>
    <w:rsid w:val="0093617A"/>
    <w:rsid w:val="009411A5"/>
    <w:rsid w:val="00946A7C"/>
    <w:rsid w:val="00950DB1"/>
    <w:rsid w:val="00952C83"/>
    <w:rsid w:val="00957418"/>
    <w:rsid w:val="009610C6"/>
    <w:rsid w:val="00971A1F"/>
    <w:rsid w:val="009734B7"/>
    <w:rsid w:val="009A380A"/>
    <w:rsid w:val="009A3A36"/>
    <w:rsid w:val="009B05AD"/>
    <w:rsid w:val="009B18A3"/>
    <w:rsid w:val="009B5557"/>
    <w:rsid w:val="009D6400"/>
    <w:rsid w:val="009D7770"/>
    <w:rsid w:val="009D7C12"/>
    <w:rsid w:val="009F65A8"/>
    <w:rsid w:val="00A171E5"/>
    <w:rsid w:val="00A17810"/>
    <w:rsid w:val="00A26720"/>
    <w:rsid w:val="00A33BD9"/>
    <w:rsid w:val="00A4182C"/>
    <w:rsid w:val="00A56849"/>
    <w:rsid w:val="00A809DB"/>
    <w:rsid w:val="00A86EB5"/>
    <w:rsid w:val="00A91773"/>
    <w:rsid w:val="00A92854"/>
    <w:rsid w:val="00AB6D34"/>
    <w:rsid w:val="00AD56C4"/>
    <w:rsid w:val="00AD7FE5"/>
    <w:rsid w:val="00AE5530"/>
    <w:rsid w:val="00B031EF"/>
    <w:rsid w:val="00B11405"/>
    <w:rsid w:val="00B138E9"/>
    <w:rsid w:val="00B179E3"/>
    <w:rsid w:val="00B245AA"/>
    <w:rsid w:val="00B663FA"/>
    <w:rsid w:val="00B81C3C"/>
    <w:rsid w:val="00BA7674"/>
    <w:rsid w:val="00BB08C4"/>
    <w:rsid w:val="00BD72A5"/>
    <w:rsid w:val="00BF526E"/>
    <w:rsid w:val="00C07C74"/>
    <w:rsid w:val="00C12784"/>
    <w:rsid w:val="00C16276"/>
    <w:rsid w:val="00C22FCF"/>
    <w:rsid w:val="00C2334E"/>
    <w:rsid w:val="00C2713A"/>
    <w:rsid w:val="00C34FD0"/>
    <w:rsid w:val="00C67AE3"/>
    <w:rsid w:val="00C76271"/>
    <w:rsid w:val="00C829B3"/>
    <w:rsid w:val="00CB046A"/>
    <w:rsid w:val="00CB7FB3"/>
    <w:rsid w:val="00CC11A8"/>
    <w:rsid w:val="00CD62C4"/>
    <w:rsid w:val="00CE32ED"/>
    <w:rsid w:val="00CF0062"/>
    <w:rsid w:val="00CF4293"/>
    <w:rsid w:val="00D06F00"/>
    <w:rsid w:val="00D14578"/>
    <w:rsid w:val="00D27BF8"/>
    <w:rsid w:val="00D30D70"/>
    <w:rsid w:val="00D54F1B"/>
    <w:rsid w:val="00D57D7B"/>
    <w:rsid w:val="00D60DA9"/>
    <w:rsid w:val="00D714E2"/>
    <w:rsid w:val="00D82CF5"/>
    <w:rsid w:val="00D838A0"/>
    <w:rsid w:val="00D8785A"/>
    <w:rsid w:val="00DB0E95"/>
    <w:rsid w:val="00DC0C4F"/>
    <w:rsid w:val="00DC6E1E"/>
    <w:rsid w:val="00DC70F6"/>
    <w:rsid w:val="00E05651"/>
    <w:rsid w:val="00E068AA"/>
    <w:rsid w:val="00E258FC"/>
    <w:rsid w:val="00E339EA"/>
    <w:rsid w:val="00E52879"/>
    <w:rsid w:val="00E55791"/>
    <w:rsid w:val="00E56340"/>
    <w:rsid w:val="00E67009"/>
    <w:rsid w:val="00E704FD"/>
    <w:rsid w:val="00E74935"/>
    <w:rsid w:val="00E75D6F"/>
    <w:rsid w:val="00E8609B"/>
    <w:rsid w:val="00E92BF0"/>
    <w:rsid w:val="00E94718"/>
    <w:rsid w:val="00E95FFE"/>
    <w:rsid w:val="00ED47A7"/>
    <w:rsid w:val="00EE1EE7"/>
    <w:rsid w:val="00F1480F"/>
    <w:rsid w:val="00F2072B"/>
    <w:rsid w:val="00F34277"/>
    <w:rsid w:val="00F80169"/>
    <w:rsid w:val="00F82200"/>
    <w:rsid w:val="00F86352"/>
    <w:rsid w:val="00F95A32"/>
    <w:rsid w:val="00FA3FD9"/>
    <w:rsid w:val="00FA6AF6"/>
    <w:rsid w:val="00FA7D65"/>
    <w:rsid w:val="010D0267"/>
    <w:rsid w:val="010D6400"/>
    <w:rsid w:val="01116D56"/>
    <w:rsid w:val="01804EE8"/>
    <w:rsid w:val="01864AED"/>
    <w:rsid w:val="01B74129"/>
    <w:rsid w:val="01E24E7A"/>
    <w:rsid w:val="01E96EEF"/>
    <w:rsid w:val="0206750A"/>
    <w:rsid w:val="020C3735"/>
    <w:rsid w:val="021919F7"/>
    <w:rsid w:val="021F5697"/>
    <w:rsid w:val="02443513"/>
    <w:rsid w:val="024C16A6"/>
    <w:rsid w:val="027B6543"/>
    <w:rsid w:val="027C2452"/>
    <w:rsid w:val="02A23A7B"/>
    <w:rsid w:val="02BE42E8"/>
    <w:rsid w:val="035F7137"/>
    <w:rsid w:val="0368661B"/>
    <w:rsid w:val="03F50BF8"/>
    <w:rsid w:val="03F757EE"/>
    <w:rsid w:val="040D5006"/>
    <w:rsid w:val="04250069"/>
    <w:rsid w:val="04332B60"/>
    <w:rsid w:val="044D1A33"/>
    <w:rsid w:val="04B147BC"/>
    <w:rsid w:val="04BC60C1"/>
    <w:rsid w:val="04D2235B"/>
    <w:rsid w:val="04D92E2A"/>
    <w:rsid w:val="04E942AF"/>
    <w:rsid w:val="05072F43"/>
    <w:rsid w:val="05396067"/>
    <w:rsid w:val="053962A9"/>
    <w:rsid w:val="05421686"/>
    <w:rsid w:val="054B7C66"/>
    <w:rsid w:val="054E3F97"/>
    <w:rsid w:val="05631304"/>
    <w:rsid w:val="05965B13"/>
    <w:rsid w:val="05AA751F"/>
    <w:rsid w:val="05AB3E4C"/>
    <w:rsid w:val="05C40254"/>
    <w:rsid w:val="05D45DE8"/>
    <w:rsid w:val="05DD3B0E"/>
    <w:rsid w:val="06541F59"/>
    <w:rsid w:val="06551195"/>
    <w:rsid w:val="067056D9"/>
    <w:rsid w:val="067A5C39"/>
    <w:rsid w:val="06883795"/>
    <w:rsid w:val="069258CC"/>
    <w:rsid w:val="06A12B72"/>
    <w:rsid w:val="06D94F62"/>
    <w:rsid w:val="06E930D6"/>
    <w:rsid w:val="06F9688C"/>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9D4BC3"/>
    <w:rsid w:val="08A367A0"/>
    <w:rsid w:val="08AD693C"/>
    <w:rsid w:val="08CA4673"/>
    <w:rsid w:val="08D545C6"/>
    <w:rsid w:val="08E152BA"/>
    <w:rsid w:val="08F76659"/>
    <w:rsid w:val="092A35DC"/>
    <w:rsid w:val="09733A93"/>
    <w:rsid w:val="09773AD2"/>
    <w:rsid w:val="09912D87"/>
    <w:rsid w:val="09A13012"/>
    <w:rsid w:val="09B8038E"/>
    <w:rsid w:val="09B96487"/>
    <w:rsid w:val="09BB1324"/>
    <w:rsid w:val="09DD5F33"/>
    <w:rsid w:val="09E2510B"/>
    <w:rsid w:val="09E2618B"/>
    <w:rsid w:val="0A0D0A5C"/>
    <w:rsid w:val="0A177598"/>
    <w:rsid w:val="0A2A0A4E"/>
    <w:rsid w:val="0A33259C"/>
    <w:rsid w:val="0A670FF2"/>
    <w:rsid w:val="0A902401"/>
    <w:rsid w:val="0AC857E6"/>
    <w:rsid w:val="0AF011AC"/>
    <w:rsid w:val="0AFE6CA0"/>
    <w:rsid w:val="0B133891"/>
    <w:rsid w:val="0B17278B"/>
    <w:rsid w:val="0B2161DE"/>
    <w:rsid w:val="0B24227A"/>
    <w:rsid w:val="0B2C066D"/>
    <w:rsid w:val="0B372F62"/>
    <w:rsid w:val="0B527D96"/>
    <w:rsid w:val="0B867DD4"/>
    <w:rsid w:val="0B8906D5"/>
    <w:rsid w:val="0B990F05"/>
    <w:rsid w:val="0BC527E7"/>
    <w:rsid w:val="0BDE30C9"/>
    <w:rsid w:val="0BE9216B"/>
    <w:rsid w:val="0C0B0A79"/>
    <w:rsid w:val="0C182984"/>
    <w:rsid w:val="0C233DDB"/>
    <w:rsid w:val="0C243614"/>
    <w:rsid w:val="0C641CE4"/>
    <w:rsid w:val="0C9A21C7"/>
    <w:rsid w:val="0CBA3E26"/>
    <w:rsid w:val="0CC86926"/>
    <w:rsid w:val="0CCA2E65"/>
    <w:rsid w:val="0CE70F5A"/>
    <w:rsid w:val="0CED70FB"/>
    <w:rsid w:val="0CF04B26"/>
    <w:rsid w:val="0D274B82"/>
    <w:rsid w:val="0D6718A8"/>
    <w:rsid w:val="0D8A5C4C"/>
    <w:rsid w:val="0DA826B2"/>
    <w:rsid w:val="0DC46801"/>
    <w:rsid w:val="0DD03A03"/>
    <w:rsid w:val="0DDA5E66"/>
    <w:rsid w:val="0DE80CCD"/>
    <w:rsid w:val="0DE92A73"/>
    <w:rsid w:val="0E1B6666"/>
    <w:rsid w:val="0E342F61"/>
    <w:rsid w:val="0E546450"/>
    <w:rsid w:val="0E6A657A"/>
    <w:rsid w:val="0E8756CE"/>
    <w:rsid w:val="0E9E306F"/>
    <w:rsid w:val="0EBE485B"/>
    <w:rsid w:val="0ECE319D"/>
    <w:rsid w:val="0EE11FA9"/>
    <w:rsid w:val="0EF36676"/>
    <w:rsid w:val="0F0E45C0"/>
    <w:rsid w:val="0F244800"/>
    <w:rsid w:val="0F343655"/>
    <w:rsid w:val="0F644218"/>
    <w:rsid w:val="0F7D1FFA"/>
    <w:rsid w:val="0F8E4908"/>
    <w:rsid w:val="0F913335"/>
    <w:rsid w:val="0F96680B"/>
    <w:rsid w:val="0FB60B75"/>
    <w:rsid w:val="0FD96CA9"/>
    <w:rsid w:val="0FDD68DC"/>
    <w:rsid w:val="0FF15BB9"/>
    <w:rsid w:val="0FFD586A"/>
    <w:rsid w:val="10020B62"/>
    <w:rsid w:val="10087FF8"/>
    <w:rsid w:val="1035011A"/>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EA2125"/>
    <w:rsid w:val="12023099"/>
    <w:rsid w:val="12373AAE"/>
    <w:rsid w:val="124D011C"/>
    <w:rsid w:val="12753E07"/>
    <w:rsid w:val="127B28B7"/>
    <w:rsid w:val="129245E5"/>
    <w:rsid w:val="12CE1204"/>
    <w:rsid w:val="12F06EE1"/>
    <w:rsid w:val="12F32533"/>
    <w:rsid w:val="13683A5C"/>
    <w:rsid w:val="137C5217"/>
    <w:rsid w:val="13917553"/>
    <w:rsid w:val="13B07F3E"/>
    <w:rsid w:val="13B26405"/>
    <w:rsid w:val="13BF5ED3"/>
    <w:rsid w:val="13FD1C15"/>
    <w:rsid w:val="14083C98"/>
    <w:rsid w:val="140876D8"/>
    <w:rsid w:val="141C18EA"/>
    <w:rsid w:val="141F1808"/>
    <w:rsid w:val="142E08FB"/>
    <w:rsid w:val="1441758D"/>
    <w:rsid w:val="145E7A95"/>
    <w:rsid w:val="146575A3"/>
    <w:rsid w:val="15006FBE"/>
    <w:rsid w:val="151F6B5A"/>
    <w:rsid w:val="156542CB"/>
    <w:rsid w:val="159F23B3"/>
    <w:rsid w:val="15A2498C"/>
    <w:rsid w:val="15B66B91"/>
    <w:rsid w:val="15E47F68"/>
    <w:rsid w:val="15FF6EEC"/>
    <w:rsid w:val="16041E01"/>
    <w:rsid w:val="16232CF9"/>
    <w:rsid w:val="16262029"/>
    <w:rsid w:val="16397749"/>
    <w:rsid w:val="16406CEA"/>
    <w:rsid w:val="16562259"/>
    <w:rsid w:val="165B3324"/>
    <w:rsid w:val="16764951"/>
    <w:rsid w:val="16A61F0D"/>
    <w:rsid w:val="16AC5F02"/>
    <w:rsid w:val="16B27F4D"/>
    <w:rsid w:val="16F47E57"/>
    <w:rsid w:val="16F53AB0"/>
    <w:rsid w:val="17220FF1"/>
    <w:rsid w:val="17613E3F"/>
    <w:rsid w:val="17664D13"/>
    <w:rsid w:val="17A75F25"/>
    <w:rsid w:val="17BD6AB4"/>
    <w:rsid w:val="17EF5DD9"/>
    <w:rsid w:val="184253B9"/>
    <w:rsid w:val="18434C37"/>
    <w:rsid w:val="186202E0"/>
    <w:rsid w:val="18655B8E"/>
    <w:rsid w:val="18875C71"/>
    <w:rsid w:val="18B80BCE"/>
    <w:rsid w:val="18C06461"/>
    <w:rsid w:val="18C66922"/>
    <w:rsid w:val="18D15598"/>
    <w:rsid w:val="18DC5CEB"/>
    <w:rsid w:val="18EE7258"/>
    <w:rsid w:val="19000F5A"/>
    <w:rsid w:val="190C7DED"/>
    <w:rsid w:val="19270D53"/>
    <w:rsid w:val="193337BA"/>
    <w:rsid w:val="195254FA"/>
    <w:rsid w:val="195919BF"/>
    <w:rsid w:val="19733859"/>
    <w:rsid w:val="199750ED"/>
    <w:rsid w:val="19A57045"/>
    <w:rsid w:val="19AC0EF2"/>
    <w:rsid w:val="19B57275"/>
    <w:rsid w:val="19BE3E90"/>
    <w:rsid w:val="19C11AC9"/>
    <w:rsid w:val="19CF40F7"/>
    <w:rsid w:val="19ED0EB9"/>
    <w:rsid w:val="19F21F24"/>
    <w:rsid w:val="1A00617E"/>
    <w:rsid w:val="1A1C2BAB"/>
    <w:rsid w:val="1A1F124B"/>
    <w:rsid w:val="1A210F06"/>
    <w:rsid w:val="1A251079"/>
    <w:rsid w:val="1A28484F"/>
    <w:rsid w:val="1A3573C0"/>
    <w:rsid w:val="1A9D156F"/>
    <w:rsid w:val="1AA80D9B"/>
    <w:rsid w:val="1AA847EC"/>
    <w:rsid w:val="1AAD0BB3"/>
    <w:rsid w:val="1AD03E52"/>
    <w:rsid w:val="1AD875EC"/>
    <w:rsid w:val="1AE26A3D"/>
    <w:rsid w:val="1AF475AD"/>
    <w:rsid w:val="1AF92EDF"/>
    <w:rsid w:val="1AFD70F0"/>
    <w:rsid w:val="1B181DD9"/>
    <w:rsid w:val="1B2F477F"/>
    <w:rsid w:val="1B6C3B7D"/>
    <w:rsid w:val="1B7F0ABE"/>
    <w:rsid w:val="1BA75872"/>
    <w:rsid w:val="1BAB396E"/>
    <w:rsid w:val="1BB07C7C"/>
    <w:rsid w:val="1BBB692B"/>
    <w:rsid w:val="1BBF0E19"/>
    <w:rsid w:val="1BCD692F"/>
    <w:rsid w:val="1BE23EBD"/>
    <w:rsid w:val="1BFB1528"/>
    <w:rsid w:val="1C302928"/>
    <w:rsid w:val="1C52178E"/>
    <w:rsid w:val="1C68632B"/>
    <w:rsid w:val="1CEB46F7"/>
    <w:rsid w:val="1D54071F"/>
    <w:rsid w:val="1D6451C6"/>
    <w:rsid w:val="1D654C9F"/>
    <w:rsid w:val="1D69417C"/>
    <w:rsid w:val="1D807289"/>
    <w:rsid w:val="1D975DF7"/>
    <w:rsid w:val="1D9B123D"/>
    <w:rsid w:val="1D9E12E8"/>
    <w:rsid w:val="1DCB4927"/>
    <w:rsid w:val="1DDD3571"/>
    <w:rsid w:val="1E190463"/>
    <w:rsid w:val="1E24668A"/>
    <w:rsid w:val="1E2A27A6"/>
    <w:rsid w:val="1E4B2FD7"/>
    <w:rsid w:val="1E7911C9"/>
    <w:rsid w:val="1E8D194D"/>
    <w:rsid w:val="1EA50F33"/>
    <w:rsid w:val="1EE724BA"/>
    <w:rsid w:val="1EFF6434"/>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786BA2"/>
    <w:rsid w:val="207F447D"/>
    <w:rsid w:val="209D6390"/>
    <w:rsid w:val="20A160B2"/>
    <w:rsid w:val="20D105CB"/>
    <w:rsid w:val="20D16460"/>
    <w:rsid w:val="20DD7F39"/>
    <w:rsid w:val="20E24774"/>
    <w:rsid w:val="20F25221"/>
    <w:rsid w:val="21145BE0"/>
    <w:rsid w:val="216365D8"/>
    <w:rsid w:val="2165140C"/>
    <w:rsid w:val="21691F88"/>
    <w:rsid w:val="2187182E"/>
    <w:rsid w:val="21957939"/>
    <w:rsid w:val="21C1624C"/>
    <w:rsid w:val="21F950CF"/>
    <w:rsid w:val="22045432"/>
    <w:rsid w:val="222A3C9E"/>
    <w:rsid w:val="22396FF8"/>
    <w:rsid w:val="22B0252A"/>
    <w:rsid w:val="22E819D8"/>
    <w:rsid w:val="231523F7"/>
    <w:rsid w:val="234B605E"/>
    <w:rsid w:val="235133E3"/>
    <w:rsid w:val="23560A29"/>
    <w:rsid w:val="239051E5"/>
    <w:rsid w:val="239D13E8"/>
    <w:rsid w:val="239F7F68"/>
    <w:rsid w:val="23ED0F94"/>
    <w:rsid w:val="23FC3011"/>
    <w:rsid w:val="240D18BD"/>
    <w:rsid w:val="246E404E"/>
    <w:rsid w:val="248114CC"/>
    <w:rsid w:val="24A3249E"/>
    <w:rsid w:val="24A62D02"/>
    <w:rsid w:val="24AF069B"/>
    <w:rsid w:val="24AF1929"/>
    <w:rsid w:val="24B63D40"/>
    <w:rsid w:val="24C674E1"/>
    <w:rsid w:val="24FA0B67"/>
    <w:rsid w:val="25082A0B"/>
    <w:rsid w:val="254369E7"/>
    <w:rsid w:val="25494E1D"/>
    <w:rsid w:val="257A74F9"/>
    <w:rsid w:val="25895A3D"/>
    <w:rsid w:val="258D735D"/>
    <w:rsid w:val="259A68BC"/>
    <w:rsid w:val="25D1716B"/>
    <w:rsid w:val="25DF6A97"/>
    <w:rsid w:val="25E6024A"/>
    <w:rsid w:val="26212585"/>
    <w:rsid w:val="26282ED7"/>
    <w:rsid w:val="265F04C1"/>
    <w:rsid w:val="267440C5"/>
    <w:rsid w:val="268C256C"/>
    <w:rsid w:val="269F48BD"/>
    <w:rsid w:val="272A1178"/>
    <w:rsid w:val="274604BA"/>
    <w:rsid w:val="27530B85"/>
    <w:rsid w:val="27537ACC"/>
    <w:rsid w:val="27743788"/>
    <w:rsid w:val="277B261F"/>
    <w:rsid w:val="27962ACA"/>
    <w:rsid w:val="279B5A93"/>
    <w:rsid w:val="27A35CC1"/>
    <w:rsid w:val="27E916BA"/>
    <w:rsid w:val="27F10483"/>
    <w:rsid w:val="28022D32"/>
    <w:rsid w:val="28594A6E"/>
    <w:rsid w:val="286B5520"/>
    <w:rsid w:val="287D3F8A"/>
    <w:rsid w:val="288E5631"/>
    <w:rsid w:val="28C32DF1"/>
    <w:rsid w:val="28C534E8"/>
    <w:rsid w:val="28D02103"/>
    <w:rsid w:val="29095837"/>
    <w:rsid w:val="293734A8"/>
    <w:rsid w:val="294E0AA4"/>
    <w:rsid w:val="296735A6"/>
    <w:rsid w:val="296D7E15"/>
    <w:rsid w:val="29962D19"/>
    <w:rsid w:val="29AD3BB2"/>
    <w:rsid w:val="29B4309C"/>
    <w:rsid w:val="29C30BAC"/>
    <w:rsid w:val="29CD7458"/>
    <w:rsid w:val="29D9048F"/>
    <w:rsid w:val="29EF70CC"/>
    <w:rsid w:val="2A1C62F4"/>
    <w:rsid w:val="2A5F0A9A"/>
    <w:rsid w:val="2A802A87"/>
    <w:rsid w:val="2A931BB9"/>
    <w:rsid w:val="2AB51A38"/>
    <w:rsid w:val="2ADF720A"/>
    <w:rsid w:val="2AEE4512"/>
    <w:rsid w:val="2B341240"/>
    <w:rsid w:val="2B34584A"/>
    <w:rsid w:val="2B64015F"/>
    <w:rsid w:val="2B644948"/>
    <w:rsid w:val="2B7C6921"/>
    <w:rsid w:val="2B9C4F86"/>
    <w:rsid w:val="2BFE1EDB"/>
    <w:rsid w:val="2C1A4265"/>
    <w:rsid w:val="2C1F32E8"/>
    <w:rsid w:val="2C2326B1"/>
    <w:rsid w:val="2C26626A"/>
    <w:rsid w:val="2C275841"/>
    <w:rsid w:val="2C3E2651"/>
    <w:rsid w:val="2C4630F8"/>
    <w:rsid w:val="2C636708"/>
    <w:rsid w:val="2C6917E7"/>
    <w:rsid w:val="2CA3554E"/>
    <w:rsid w:val="2CBC0FFA"/>
    <w:rsid w:val="2CC27AB8"/>
    <w:rsid w:val="2CC379B0"/>
    <w:rsid w:val="2CEF3C54"/>
    <w:rsid w:val="2CF23870"/>
    <w:rsid w:val="2D006219"/>
    <w:rsid w:val="2D05566F"/>
    <w:rsid w:val="2D11170D"/>
    <w:rsid w:val="2D13298D"/>
    <w:rsid w:val="2D221D5D"/>
    <w:rsid w:val="2D2A0414"/>
    <w:rsid w:val="2D383726"/>
    <w:rsid w:val="2D386439"/>
    <w:rsid w:val="2D7B766B"/>
    <w:rsid w:val="2D9E7CAE"/>
    <w:rsid w:val="2DBA7FBA"/>
    <w:rsid w:val="2DBE1024"/>
    <w:rsid w:val="2DC6390A"/>
    <w:rsid w:val="2DE16ECB"/>
    <w:rsid w:val="2DE2223D"/>
    <w:rsid w:val="2DE40DD4"/>
    <w:rsid w:val="2E0F2EDB"/>
    <w:rsid w:val="2E145E1D"/>
    <w:rsid w:val="2E223E47"/>
    <w:rsid w:val="2E270A97"/>
    <w:rsid w:val="2E406C0B"/>
    <w:rsid w:val="2E4430FB"/>
    <w:rsid w:val="2E852BFA"/>
    <w:rsid w:val="2EB72D84"/>
    <w:rsid w:val="2EE359E2"/>
    <w:rsid w:val="2EEC1574"/>
    <w:rsid w:val="2F1B43C7"/>
    <w:rsid w:val="2F5604CA"/>
    <w:rsid w:val="2FA36E63"/>
    <w:rsid w:val="2FC33170"/>
    <w:rsid w:val="2FD352CF"/>
    <w:rsid w:val="2FD66838"/>
    <w:rsid w:val="2FDB72F7"/>
    <w:rsid w:val="300E7DD2"/>
    <w:rsid w:val="301C704F"/>
    <w:rsid w:val="3038011D"/>
    <w:rsid w:val="303C0D37"/>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644472"/>
    <w:rsid w:val="31645690"/>
    <w:rsid w:val="3170139F"/>
    <w:rsid w:val="317D02F3"/>
    <w:rsid w:val="31AC3F23"/>
    <w:rsid w:val="31D94323"/>
    <w:rsid w:val="31F43EF2"/>
    <w:rsid w:val="320F656E"/>
    <w:rsid w:val="3229313A"/>
    <w:rsid w:val="322A09EC"/>
    <w:rsid w:val="322E6D47"/>
    <w:rsid w:val="32343227"/>
    <w:rsid w:val="324748F5"/>
    <w:rsid w:val="327945B0"/>
    <w:rsid w:val="32C3640C"/>
    <w:rsid w:val="32C47E69"/>
    <w:rsid w:val="32DF4B9C"/>
    <w:rsid w:val="32EE5E66"/>
    <w:rsid w:val="32F707FF"/>
    <w:rsid w:val="32FE7982"/>
    <w:rsid w:val="330D52B8"/>
    <w:rsid w:val="331E1C54"/>
    <w:rsid w:val="335A2666"/>
    <w:rsid w:val="33666803"/>
    <w:rsid w:val="338A0060"/>
    <w:rsid w:val="338C018A"/>
    <w:rsid w:val="338C598B"/>
    <w:rsid w:val="33A045C6"/>
    <w:rsid w:val="33A655BD"/>
    <w:rsid w:val="33C2279E"/>
    <w:rsid w:val="33E6404A"/>
    <w:rsid w:val="34052E84"/>
    <w:rsid w:val="34195765"/>
    <w:rsid w:val="343B5578"/>
    <w:rsid w:val="34510B5E"/>
    <w:rsid w:val="3465056A"/>
    <w:rsid w:val="346866A1"/>
    <w:rsid w:val="348167F0"/>
    <w:rsid w:val="34921598"/>
    <w:rsid w:val="349A1C0D"/>
    <w:rsid w:val="34A75868"/>
    <w:rsid w:val="34A83FD4"/>
    <w:rsid w:val="34E261D0"/>
    <w:rsid w:val="34E3740B"/>
    <w:rsid w:val="350D51A0"/>
    <w:rsid w:val="35286BF7"/>
    <w:rsid w:val="35522321"/>
    <w:rsid w:val="355D53D4"/>
    <w:rsid w:val="3599429E"/>
    <w:rsid w:val="35A73257"/>
    <w:rsid w:val="35B12F84"/>
    <w:rsid w:val="35B57875"/>
    <w:rsid w:val="36033A12"/>
    <w:rsid w:val="363D403E"/>
    <w:rsid w:val="366D3CBC"/>
    <w:rsid w:val="36750E50"/>
    <w:rsid w:val="367C01BA"/>
    <w:rsid w:val="36B77EB7"/>
    <w:rsid w:val="37592FE4"/>
    <w:rsid w:val="377336AC"/>
    <w:rsid w:val="377F502A"/>
    <w:rsid w:val="37804449"/>
    <w:rsid w:val="378A028C"/>
    <w:rsid w:val="37CA1388"/>
    <w:rsid w:val="37CC6ED3"/>
    <w:rsid w:val="37F94643"/>
    <w:rsid w:val="37FB24F6"/>
    <w:rsid w:val="3806724C"/>
    <w:rsid w:val="38292EF5"/>
    <w:rsid w:val="38305180"/>
    <w:rsid w:val="383B2625"/>
    <w:rsid w:val="3850158A"/>
    <w:rsid w:val="385C1B7F"/>
    <w:rsid w:val="38610D05"/>
    <w:rsid w:val="388F49F5"/>
    <w:rsid w:val="38AB3C78"/>
    <w:rsid w:val="38F262D0"/>
    <w:rsid w:val="38FA192C"/>
    <w:rsid w:val="39076C11"/>
    <w:rsid w:val="39221703"/>
    <w:rsid w:val="39283EEC"/>
    <w:rsid w:val="3930488C"/>
    <w:rsid w:val="39401394"/>
    <w:rsid w:val="3968060E"/>
    <w:rsid w:val="398473E8"/>
    <w:rsid w:val="39C531C8"/>
    <w:rsid w:val="39E23259"/>
    <w:rsid w:val="39EA289E"/>
    <w:rsid w:val="3A0B2C87"/>
    <w:rsid w:val="3A0E4E62"/>
    <w:rsid w:val="3A0F0F43"/>
    <w:rsid w:val="3A2140D2"/>
    <w:rsid w:val="3A476B5E"/>
    <w:rsid w:val="3A711825"/>
    <w:rsid w:val="3AA82CF8"/>
    <w:rsid w:val="3AAC5B36"/>
    <w:rsid w:val="3AD06974"/>
    <w:rsid w:val="3ADA42A0"/>
    <w:rsid w:val="3AED2DDA"/>
    <w:rsid w:val="3AF1226A"/>
    <w:rsid w:val="3AF21E9B"/>
    <w:rsid w:val="3B0A7A50"/>
    <w:rsid w:val="3B105BA8"/>
    <w:rsid w:val="3B2414E4"/>
    <w:rsid w:val="3B277374"/>
    <w:rsid w:val="3B3500CB"/>
    <w:rsid w:val="3B4F35F9"/>
    <w:rsid w:val="3B50783E"/>
    <w:rsid w:val="3B6A281B"/>
    <w:rsid w:val="3B896874"/>
    <w:rsid w:val="3B9D4373"/>
    <w:rsid w:val="3BA92EC6"/>
    <w:rsid w:val="3BB663C6"/>
    <w:rsid w:val="3BB94D10"/>
    <w:rsid w:val="3BE70BEC"/>
    <w:rsid w:val="3C3158BF"/>
    <w:rsid w:val="3C512C6A"/>
    <w:rsid w:val="3C5E6096"/>
    <w:rsid w:val="3C6D0AA3"/>
    <w:rsid w:val="3C7D446D"/>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D4640D"/>
    <w:rsid w:val="3E00648E"/>
    <w:rsid w:val="3E0F619F"/>
    <w:rsid w:val="3E2C07D2"/>
    <w:rsid w:val="3E4B1EC4"/>
    <w:rsid w:val="3E4C5C7B"/>
    <w:rsid w:val="3E60232E"/>
    <w:rsid w:val="3E6966CC"/>
    <w:rsid w:val="3E6F6349"/>
    <w:rsid w:val="3E7001DF"/>
    <w:rsid w:val="3E815E9D"/>
    <w:rsid w:val="3E8F04CD"/>
    <w:rsid w:val="3EA4334C"/>
    <w:rsid w:val="3EEE4BA8"/>
    <w:rsid w:val="3F227ECC"/>
    <w:rsid w:val="3F2A1510"/>
    <w:rsid w:val="3F323523"/>
    <w:rsid w:val="3F59407A"/>
    <w:rsid w:val="3F963935"/>
    <w:rsid w:val="3FED10C4"/>
    <w:rsid w:val="3FFD69BE"/>
    <w:rsid w:val="40115E5D"/>
    <w:rsid w:val="402551CC"/>
    <w:rsid w:val="404C0EDB"/>
    <w:rsid w:val="405A7340"/>
    <w:rsid w:val="406B7B27"/>
    <w:rsid w:val="40A1164F"/>
    <w:rsid w:val="40AD7C5B"/>
    <w:rsid w:val="40CD5F0B"/>
    <w:rsid w:val="40DD4729"/>
    <w:rsid w:val="40EB7E0B"/>
    <w:rsid w:val="411E2BE4"/>
    <w:rsid w:val="41694287"/>
    <w:rsid w:val="416B194D"/>
    <w:rsid w:val="41C36A02"/>
    <w:rsid w:val="41F85D27"/>
    <w:rsid w:val="4237497C"/>
    <w:rsid w:val="424D68DB"/>
    <w:rsid w:val="42565FD0"/>
    <w:rsid w:val="42596CCD"/>
    <w:rsid w:val="427F350F"/>
    <w:rsid w:val="42914340"/>
    <w:rsid w:val="42AF1A12"/>
    <w:rsid w:val="42B008AC"/>
    <w:rsid w:val="43127FA0"/>
    <w:rsid w:val="431D66E9"/>
    <w:rsid w:val="435C6176"/>
    <w:rsid w:val="436A6992"/>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B773A"/>
    <w:rsid w:val="44F14784"/>
    <w:rsid w:val="451E341B"/>
    <w:rsid w:val="452D6C34"/>
    <w:rsid w:val="454D00BA"/>
    <w:rsid w:val="45AC4CF4"/>
    <w:rsid w:val="45AD524F"/>
    <w:rsid w:val="45AE36B8"/>
    <w:rsid w:val="45CF7FBC"/>
    <w:rsid w:val="45F35C5E"/>
    <w:rsid w:val="46400CA9"/>
    <w:rsid w:val="465A4FCD"/>
    <w:rsid w:val="465B230D"/>
    <w:rsid w:val="4662285A"/>
    <w:rsid w:val="467208A3"/>
    <w:rsid w:val="46810023"/>
    <w:rsid w:val="468354F8"/>
    <w:rsid w:val="46836109"/>
    <w:rsid w:val="468B0189"/>
    <w:rsid w:val="46995FD1"/>
    <w:rsid w:val="46B06667"/>
    <w:rsid w:val="46C35907"/>
    <w:rsid w:val="47032B85"/>
    <w:rsid w:val="472C0755"/>
    <w:rsid w:val="4745188E"/>
    <w:rsid w:val="476D2EF2"/>
    <w:rsid w:val="476E7A2B"/>
    <w:rsid w:val="477A07F4"/>
    <w:rsid w:val="47B54AA8"/>
    <w:rsid w:val="47BD13B2"/>
    <w:rsid w:val="47BF5406"/>
    <w:rsid w:val="47C073E7"/>
    <w:rsid w:val="47DE197A"/>
    <w:rsid w:val="47F04F1C"/>
    <w:rsid w:val="47F261EE"/>
    <w:rsid w:val="4801327C"/>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B151DD8"/>
    <w:rsid w:val="4B2F5A69"/>
    <w:rsid w:val="4B600DBB"/>
    <w:rsid w:val="4B740186"/>
    <w:rsid w:val="4B7467CA"/>
    <w:rsid w:val="4B8464B3"/>
    <w:rsid w:val="4B96469A"/>
    <w:rsid w:val="4BD47B3A"/>
    <w:rsid w:val="4BE60345"/>
    <w:rsid w:val="4BF61A49"/>
    <w:rsid w:val="4BFD254C"/>
    <w:rsid w:val="4BFD2BB9"/>
    <w:rsid w:val="4C007D9B"/>
    <w:rsid w:val="4C097E52"/>
    <w:rsid w:val="4C251632"/>
    <w:rsid w:val="4C266DAF"/>
    <w:rsid w:val="4C3C7997"/>
    <w:rsid w:val="4C423D11"/>
    <w:rsid w:val="4C4277B1"/>
    <w:rsid w:val="4C4A7111"/>
    <w:rsid w:val="4CA860AF"/>
    <w:rsid w:val="4CB66E36"/>
    <w:rsid w:val="4CD04687"/>
    <w:rsid w:val="4D09681B"/>
    <w:rsid w:val="4D1A6222"/>
    <w:rsid w:val="4D2B1C5F"/>
    <w:rsid w:val="4D2E64BA"/>
    <w:rsid w:val="4D316971"/>
    <w:rsid w:val="4D423028"/>
    <w:rsid w:val="4D581632"/>
    <w:rsid w:val="4D692C32"/>
    <w:rsid w:val="4D6E3CCE"/>
    <w:rsid w:val="4D7901E4"/>
    <w:rsid w:val="4D805757"/>
    <w:rsid w:val="4DCF155E"/>
    <w:rsid w:val="4DD11AEE"/>
    <w:rsid w:val="4DE22B61"/>
    <w:rsid w:val="4E1E35A8"/>
    <w:rsid w:val="4E4A36DE"/>
    <w:rsid w:val="4E997F39"/>
    <w:rsid w:val="4EA45038"/>
    <w:rsid w:val="4EA535EA"/>
    <w:rsid w:val="4EB16F4D"/>
    <w:rsid w:val="4ED37A9C"/>
    <w:rsid w:val="4EDE0A69"/>
    <w:rsid w:val="4EF438A7"/>
    <w:rsid w:val="4F053AD4"/>
    <w:rsid w:val="4F4F7C97"/>
    <w:rsid w:val="4F951D60"/>
    <w:rsid w:val="4FAB27E4"/>
    <w:rsid w:val="4FAD4336"/>
    <w:rsid w:val="4FEA66FB"/>
    <w:rsid w:val="50000326"/>
    <w:rsid w:val="5012456C"/>
    <w:rsid w:val="501B0160"/>
    <w:rsid w:val="5028413A"/>
    <w:rsid w:val="5034185C"/>
    <w:rsid w:val="50662285"/>
    <w:rsid w:val="50935D58"/>
    <w:rsid w:val="509473B7"/>
    <w:rsid w:val="50C85002"/>
    <w:rsid w:val="50D3250E"/>
    <w:rsid w:val="512B4D4B"/>
    <w:rsid w:val="51351C9B"/>
    <w:rsid w:val="513D3709"/>
    <w:rsid w:val="515323AC"/>
    <w:rsid w:val="515911D2"/>
    <w:rsid w:val="5159308A"/>
    <w:rsid w:val="51636223"/>
    <w:rsid w:val="51996C1B"/>
    <w:rsid w:val="51A56DF6"/>
    <w:rsid w:val="51AB46BA"/>
    <w:rsid w:val="51D254DA"/>
    <w:rsid w:val="51DF2711"/>
    <w:rsid w:val="51F20232"/>
    <w:rsid w:val="520C36C1"/>
    <w:rsid w:val="52171AFB"/>
    <w:rsid w:val="5235465D"/>
    <w:rsid w:val="52367473"/>
    <w:rsid w:val="523E15D7"/>
    <w:rsid w:val="5249313E"/>
    <w:rsid w:val="52527419"/>
    <w:rsid w:val="525A4669"/>
    <w:rsid w:val="525B22C4"/>
    <w:rsid w:val="526018C0"/>
    <w:rsid w:val="52841F28"/>
    <w:rsid w:val="52AD06F5"/>
    <w:rsid w:val="52BE0F28"/>
    <w:rsid w:val="52D32108"/>
    <w:rsid w:val="52D6356D"/>
    <w:rsid w:val="52F77D67"/>
    <w:rsid w:val="53385FAE"/>
    <w:rsid w:val="534E489F"/>
    <w:rsid w:val="536E730E"/>
    <w:rsid w:val="537C2BD7"/>
    <w:rsid w:val="53971E29"/>
    <w:rsid w:val="53A35F99"/>
    <w:rsid w:val="53E6334F"/>
    <w:rsid w:val="53FB17FA"/>
    <w:rsid w:val="541862F0"/>
    <w:rsid w:val="546A6559"/>
    <w:rsid w:val="546F0B91"/>
    <w:rsid w:val="54B779B5"/>
    <w:rsid w:val="54D25371"/>
    <w:rsid w:val="54EC1FC6"/>
    <w:rsid w:val="552C68B9"/>
    <w:rsid w:val="55335647"/>
    <w:rsid w:val="5538682D"/>
    <w:rsid w:val="5552614F"/>
    <w:rsid w:val="55530973"/>
    <w:rsid w:val="55560E04"/>
    <w:rsid w:val="5583167D"/>
    <w:rsid w:val="55995FB7"/>
    <w:rsid w:val="55A156DD"/>
    <w:rsid w:val="55B13035"/>
    <w:rsid w:val="55C10548"/>
    <w:rsid w:val="55C244BC"/>
    <w:rsid w:val="55C708F6"/>
    <w:rsid w:val="55E37FE2"/>
    <w:rsid w:val="56015FD4"/>
    <w:rsid w:val="56176CD0"/>
    <w:rsid w:val="56195188"/>
    <w:rsid w:val="561A57E6"/>
    <w:rsid w:val="562E4782"/>
    <w:rsid w:val="56327C9C"/>
    <w:rsid w:val="5639508E"/>
    <w:rsid w:val="56446C4A"/>
    <w:rsid w:val="56534D2A"/>
    <w:rsid w:val="5659691E"/>
    <w:rsid w:val="56635FA9"/>
    <w:rsid w:val="56737273"/>
    <w:rsid w:val="56BB5794"/>
    <w:rsid w:val="56C16A07"/>
    <w:rsid w:val="56C721C1"/>
    <w:rsid w:val="56C75E65"/>
    <w:rsid w:val="56ED49AC"/>
    <w:rsid w:val="570D1D86"/>
    <w:rsid w:val="57553D3F"/>
    <w:rsid w:val="57703672"/>
    <w:rsid w:val="5773534B"/>
    <w:rsid w:val="57780B7F"/>
    <w:rsid w:val="57856672"/>
    <w:rsid w:val="579D25BA"/>
    <w:rsid w:val="57B975D7"/>
    <w:rsid w:val="57BB6757"/>
    <w:rsid w:val="57C82DD9"/>
    <w:rsid w:val="57E73B91"/>
    <w:rsid w:val="57F45188"/>
    <w:rsid w:val="57F81A83"/>
    <w:rsid w:val="58032997"/>
    <w:rsid w:val="581D6018"/>
    <w:rsid w:val="583F1055"/>
    <w:rsid w:val="58441188"/>
    <w:rsid w:val="58477459"/>
    <w:rsid w:val="58494A10"/>
    <w:rsid w:val="585A018E"/>
    <w:rsid w:val="585B0937"/>
    <w:rsid w:val="58744829"/>
    <w:rsid w:val="587673AC"/>
    <w:rsid w:val="5898522B"/>
    <w:rsid w:val="58AE0C9D"/>
    <w:rsid w:val="58BD3A38"/>
    <w:rsid w:val="58F609E4"/>
    <w:rsid w:val="58FB67BC"/>
    <w:rsid w:val="5930657D"/>
    <w:rsid w:val="59327DEB"/>
    <w:rsid w:val="59392E42"/>
    <w:rsid w:val="593B5B55"/>
    <w:rsid w:val="593D19BE"/>
    <w:rsid w:val="59CB134C"/>
    <w:rsid w:val="59D13042"/>
    <w:rsid w:val="59EA652F"/>
    <w:rsid w:val="5A3F6176"/>
    <w:rsid w:val="5A5A38F1"/>
    <w:rsid w:val="5A7629B7"/>
    <w:rsid w:val="5A83298E"/>
    <w:rsid w:val="5A84337E"/>
    <w:rsid w:val="5A8D03AD"/>
    <w:rsid w:val="5AA34E07"/>
    <w:rsid w:val="5AD937F3"/>
    <w:rsid w:val="5AE30663"/>
    <w:rsid w:val="5AE36AFC"/>
    <w:rsid w:val="5AE47198"/>
    <w:rsid w:val="5AEF3CA7"/>
    <w:rsid w:val="5AFB0199"/>
    <w:rsid w:val="5B0001EA"/>
    <w:rsid w:val="5B5041D6"/>
    <w:rsid w:val="5B6B25D0"/>
    <w:rsid w:val="5B6B4549"/>
    <w:rsid w:val="5BAD031C"/>
    <w:rsid w:val="5BB36D0A"/>
    <w:rsid w:val="5BD03C5A"/>
    <w:rsid w:val="5BD33975"/>
    <w:rsid w:val="5BDA775F"/>
    <w:rsid w:val="5BEA7806"/>
    <w:rsid w:val="5BED1355"/>
    <w:rsid w:val="5C035D5C"/>
    <w:rsid w:val="5C0B1081"/>
    <w:rsid w:val="5C2E76F3"/>
    <w:rsid w:val="5C885120"/>
    <w:rsid w:val="5CC14996"/>
    <w:rsid w:val="5D08718A"/>
    <w:rsid w:val="5D33075C"/>
    <w:rsid w:val="5D38401E"/>
    <w:rsid w:val="5D65772A"/>
    <w:rsid w:val="5DA30012"/>
    <w:rsid w:val="5DC93120"/>
    <w:rsid w:val="5DDA6F3B"/>
    <w:rsid w:val="5DDB5F91"/>
    <w:rsid w:val="5E282729"/>
    <w:rsid w:val="5E2C3252"/>
    <w:rsid w:val="5E39000D"/>
    <w:rsid w:val="5E5007AD"/>
    <w:rsid w:val="5E575A00"/>
    <w:rsid w:val="5E5B33A6"/>
    <w:rsid w:val="5EEC29C3"/>
    <w:rsid w:val="5EF527AD"/>
    <w:rsid w:val="5F0241A8"/>
    <w:rsid w:val="5F031737"/>
    <w:rsid w:val="5F1B570F"/>
    <w:rsid w:val="5F4013BA"/>
    <w:rsid w:val="5F515252"/>
    <w:rsid w:val="5F882D2B"/>
    <w:rsid w:val="5FDC496F"/>
    <w:rsid w:val="5FEA0E05"/>
    <w:rsid w:val="5FFA2F3B"/>
    <w:rsid w:val="600D47EB"/>
    <w:rsid w:val="60240F4A"/>
    <w:rsid w:val="602A2F0C"/>
    <w:rsid w:val="605E48C7"/>
    <w:rsid w:val="606A7181"/>
    <w:rsid w:val="608D0DC2"/>
    <w:rsid w:val="60CF4513"/>
    <w:rsid w:val="60FC46B7"/>
    <w:rsid w:val="61002168"/>
    <w:rsid w:val="6138206E"/>
    <w:rsid w:val="616270EF"/>
    <w:rsid w:val="61706EDF"/>
    <w:rsid w:val="619B1498"/>
    <w:rsid w:val="619B3BCB"/>
    <w:rsid w:val="61C5760F"/>
    <w:rsid w:val="61CB09F2"/>
    <w:rsid w:val="61F34165"/>
    <w:rsid w:val="62053AEE"/>
    <w:rsid w:val="62426D4A"/>
    <w:rsid w:val="62842199"/>
    <w:rsid w:val="62B6346C"/>
    <w:rsid w:val="62F27D6D"/>
    <w:rsid w:val="631814C9"/>
    <w:rsid w:val="632F7DE7"/>
    <w:rsid w:val="635E620F"/>
    <w:rsid w:val="636A3EC3"/>
    <w:rsid w:val="636A6F4B"/>
    <w:rsid w:val="63A94A31"/>
    <w:rsid w:val="63AC1EAC"/>
    <w:rsid w:val="63C910E5"/>
    <w:rsid w:val="63CC75B9"/>
    <w:rsid w:val="63FE1629"/>
    <w:rsid w:val="641E6EE2"/>
    <w:rsid w:val="64326B19"/>
    <w:rsid w:val="645214CF"/>
    <w:rsid w:val="6487530B"/>
    <w:rsid w:val="64BA39D7"/>
    <w:rsid w:val="64CF3CAA"/>
    <w:rsid w:val="64D96235"/>
    <w:rsid w:val="650F5FAC"/>
    <w:rsid w:val="656033A2"/>
    <w:rsid w:val="65815AA0"/>
    <w:rsid w:val="658855D4"/>
    <w:rsid w:val="658867B3"/>
    <w:rsid w:val="659B42A0"/>
    <w:rsid w:val="65A8095A"/>
    <w:rsid w:val="65F1238A"/>
    <w:rsid w:val="663B062F"/>
    <w:rsid w:val="663E4EF3"/>
    <w:rsid w:val="66471F83"/>
    <w:rsid w:val="665A01D2"/>
    <w:rsid w:val="6688533A"/>
    <w:rsid w:val="66BB442F"/>
    <w:rsid w:val="66D02521"/>
    <w:rsid w:val="670C3488"/>
    <w:rsid w:val="672E09CF"/>
    <w:rsid w:val="67365DB5"/>
    <w:rsid w:val="6792126C"/>
    <w:rsid w:val="67A97CFB"/>
    <w:rsid w:val="67EC006A"/>
    <w:rsid w:val="680328B7"/>
    <w:rsid w:val="680D5EE5"/>
    <w:rsid w:val="68107593"/>
    <w:rsid w:val="68651677"/>
    <w:rsid w:val="686F261C"/>
    <w:rsid w:val="687E3602"/>
    <w:rsid w:val="68AC366C"/>
    <w:rsid w:val="68B329E9"/>
    <w:rsid w:val="69030906"/>
    <w:rsid w:val="692C4F44"/>
    <w:rsid w:val="697D4944"/>
    <w:rsid w:val="697E2DEE"/>
    <w:rsid w:val="69E1523E"/>
    <w:rsid w:val="6A377133"/>
    <w:rsid w:val="6A3802AF"/>
    <w:rsid w:val="6A650E8F"/>
    <w:rsid w:val="6AA25847"/>
    <w:rsid w:val="6AEB550E"/>
    <w:rsid w:val="6AF47AD0"/>
    <w:rsid w:val="6B0B7792"/>
    <w:rsid w:val="6B213C7A"/>
    <w:rsid w:val="6B2726B5"/>
    <w:rsid w:val="6B5760AD"/>
    <w:rsid w:val="6B6356A7"/>
    <w:rsid w:val="6B6F75D9"/>
    <w:rsid w:val="6B7753BB"/>
    <w:rsid w:val="6BA303EE"/>
    <w:rsid w:val="6BD57A1A"/>
    <w:rsid w:val="6BE52340"/>
    <w:rsid w:val="6BEA317F"/>
    <w:rsid w:val="6C077B7C"/>
    <w:rsid w:val="6C89469E"/>
    <w:rsid w:val="6C93673A"/>
    <w:rsid w:val="6C9559EA"/>
    <w:rsid w:val="6CBB305B"/>
    <w:rsid w:val="6CC206BF"/>
    <w:rsid w:val="6CDD0CB1"/>
    <w:rsid w:val="6CE419F3"/>
    <w:rsid w:val="6CE93DEC"/>
    <w:rsid w:val="6D225A73"/>
    <w:rsid w:val="6D4B705D"/>
    <w:rsid w:val="6D711A3E"/>
    <w:rsid w:val="6D8D0D90"/>
    <w:rsid w:val="6D96046C"/>
    <w:rsid w:val="6DD50561"/>
    <w:rsid w:val="6DF021A3"/>
    <w:rsid w:val="6E1A1F69"/>
    <w:rsid w:val="6E3B5323"/>
    <w:rsid w:val="6E793023"/>
    <w:rsid w:val="6E7F7AFB"/>
    <w:rsid w:val="6EB770BA"/>
    <w:rsid w:val="6EB96505"/>
    <w:rsid w:val="6ED43ACF"/>
    <w:rsid w:val="6EDF1CCE"/>
    <w:rsid w:val="6EEA71F0"/>
    <w:rsid w:val="6F2B434D"/>
    <w:rsid w:val="6F2C5B46"/>
    <w:rsid w:val="6F2D78EE"/>
    <w:rsid w:val="6F4E71A8"/>
    <w:rsid w:val="6F70301C"/>
    <w:rsid w:val="6F7C562E"/>
    <w:rsid w:val="6FB95193"/>
    <w:rsid w:val="6FE60D34"/>
    <w:rsid w:val="6FEE7F40"/>
    <w:rsid w:val="70015EAC"/>
    <w:rsid w:val="70093C44"/>
    <w:rsid w:val="7013025E"/>
    <w:rsid w:val="70150176"/>
    <w:rsid w:val="706A4129"/>
    <w:rsid w:val="70747A02"/>
    <w:rsid w:val="7076111A"/>
    <w:rsid w:val="70B73E00"/>
    <w:rsid w:val="70F2796B"/>
    <w:rsid w:val="710F1765"/>
    <w:rsid w:val="711A1C30"/>
    <w:rsid w:val="711D088F"/>
    <w:rsid w:val="711E6ABB"/>
    <w:rsid w:val="71400456"/>
    <w:rsid w:val="714C2EBE"/>
    <w:rsid w:val="71611C06"/>
    <w:rsid w:val="71636191"/>
    <w:rsid w:val="71686453"/>
    <w:rsid w:val="71A976A3"/>
    <w:rsid w:val="71B83D73"/>
    <w:rsid w:val="71C94377"/>
    <w:rsid w:val="71D6274F"/>
    <w:rsid w:val="726E4C9E"/>
    <w:rsid w:val="729310B6"/>
    <w:rsid w:val="72CD0489"/>
    <w:rsid w:val="72DB349B"/>
    <w:rsid w:val="72E10CF1"/>
    <w:rsid w:val="72E16E78"/>
    <w:rsid w:val="72EA15F7"/>
    <w:rsid w:val="73062CBE"/>
    <w:rsid w:val="73297EB2"/>
    <w:rsid w:val="73497FD2"/>
    <w:rsid w:val="735765E8"/>
    <w:rsid w:val="73611BAF"/>
    <w:rsid w:val="7368643D"/>
    <w:rsid w:val="738A6877"/>
    <w:rsid w:val="739C4779"/>
    <w:rsid w:val="73A2442B"/>
    <w:rsid w:val="73AA6208"/>
    <w:rsid w:val="73C832AF"/>
    <w:rsid w:val="73E52982"/>
    <w:rsid w:val="73FA0625"/>
    <w:rsid w:val="74024A09"/>
    <w:rsid w:val="74472CC7"/>
    <w:rsid w:val="7485747A"/>
    <w:rsid w:val="748D3B91"/>
    <w:rsid w:val="74FD176E"/>
    <w:rsid w:val="75132281"/>
    <w:rsid w:val="754C1C51"/>
    <w:rsid w:val="755F4608"/>
    <w:rsid w:val="7564660F"/>
    <w:rsid w:val="7571106C"/>
    <w:rsid w:val="757918F4"/>
    <w:rsid w:val="75886342"/>
    <w:rsid w:val="758E7458"/>
    <w:rsid w:val="75B9274E"/>
    <w:rsid w:val="75F83FB4"/>
    <w:rsid w:val="75F9318E"/>
    <w:rsid w:val="760E47B2"/>
    <w:rsid w:val="76703988"/>
    <w:rsid w:val="7672217C"/>
    <w:rsid w:val="76A12DC3"/>
    <w:rsid w:val="76D15B17"/>
    <w:rsid w:val="77186B1E"/>
    <w:rsid w:val="77645C7D"/>
    <w:rsid w:val="777439C1"/>
    <w:rsid w:val="77B15DF4"/>
    <w:rsid w:val="77B856B5"/>
    <w:rsid w:val="78076895"/>
    <w:rsid w:val="78091695"/>
    <w:rsid w:val="78151AE7"/>
    <w:rsid w:val="781D0ABF"/>
    <w:rsid w:val="782B5948"/>
    <w:rsid w:val="78602ABF"/>
    <w:rsid w:val="78665FE4"/>
    <w:rsid w:val="786E0FFE"/>
    <w:rsid w:val="78D02FB6"/>
    <w:rsid w:val="78FD3867"/>
    <w:rsid w:val="79214FA6"/>
    <w:rsid w:val="79367FB8"/>
    <w:rsid w:val="79392A29"/>
    <w:rsid w:val="79583AEC"/>
    <w:rsid w:val="795C7162"/>
    <w:rsid w:val="797812D7"/>
    <w:rsid w:val="799D7539"/>
    <w:rsid w:val="799F72C4"/>
    <w:rsid w:val="79A20557"/>
    <w:rsid w:val="79AB7A8E"/>
    <w:rsid w:val="79AC0207"/>
    <w:rsid w:val="79CB5BC6"/>
    <w:rsid w:val="79FD492D"/>
    <w:rsid w:val="7A087CF7"/>
    <w:rsid w:val="7A7F6A39"/>
    <w:rsid w:val="7A9A2995"/>
    <w:rsid w:val="7AA85A57"/>
    <w:rsid w:val="7AA97571"/>
    <w:rsid w:val="7AD1328F"/>
    <w:rsid w:val="7AF26D81"/>
    <w:rsid w:val="7AF464E6"/>
    <w:rsid w:val="7AF6549D"/>
    <w:rsid w:val="7B014170"/>
    <w:rsid w:val="7B5E5C27"/>
    <w:rsid w:val="7B652196"/>
    <w:rsid w:val="7B762D9E"/>
    <w:rsid w:val="7B784952"/>
    <w:rsid w:val="7B7C479D"/>
    <w:rsid w:val="7B920A5D"/>
    <w:rsid w:val="7BA1455F"/>
    <w:rsid w:val="7BDC1294"/>
    <w:rsid w:val="7BF2190A"/>
    <w:rsid w:val="7C010589"/>
    <w:rsid w:val="7C160D02"/>
    <w:rsid w:val="7C1637C1"/>
    <w:rsid w:val="7C4706AF"/>
    <w:rsid w:val="7C526D30"/>
    <w:rsid w:val="7C574088"/>
    <w:rsid w:val="7C5D6386"/>
    <w:rsid w:val="7C921F5C"/>
    <w:rsid w:val="7C9D2374"/>
    <w:rsid w:val="7CAC42FA"/>
    <w:rsid w:val="7CEA2FFC"/>
    <w:rsid w:val="7CF36D0A"/>
    <w:rsid w:val="7CFD68A1"/>
    <w:rsid w:val="7D004B90"/>
    <w:rsid w:val="7D09176A"/>
    <w:rsid w:val="7D21528B"/>
    <w:rsid w:val="7D295788"/>
    <w:rsid w:val="7D431D8D"/>
    <w:rsid w:val="7D7D4F75"/>
    <w:rsid w:val="7D937F07"/>
    <w:rsid w:val="7DA008E1"/>
    <w:rsid w:val="7DAA286B"/>
    <w:rsid w:val="7DB954F6"/>
    <w:rsid w:val="7DC07247"/>
    <w:rsid w:val="7DC62F24"/>
    <w:rsid w:val="7DE93C91"/>
    <w:rsid w:val="7E0E7FD0"/>
    <w:rsid w:val="7E1B6002"/>
    <w:rsid w:val="7E1F4180"/>
    <w:rsid w:val="7E575AC2"/>
    <w:rsid w:val="7E68207B"/>
    <w:rsid w:val="7E950FE9"/>
    <w:rsid w:val="7EA454D3"/>
    <w:rsid w:val="7EC009E8"/>
    <w:rsid w:val="7F410352"/>
    <w:rsid w:val="7F440F7A"/>
    <w:rsid w:val="7F510226"/>
    <w:rsid w:val="7F634386"/>
    <w:rsid w:val="7FBF3E86"/>
    <w:rsid w:val="7FCA7309"/>
    <w:rsid w:val="7FDC7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22"/>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23"/>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24"/>
    <w:qFormat/>
    <w:uiPriority w:val="0"/>
    <w:pPr>
      <w:numPr>
        <w:ilvl w:val="2"/>
      </w:numPr>
      <w:spacing w:before="120"/>
      <w:outlineLvl w:val="2"/>
    </w:pPr>
    <w:rPr>
      <w:sz w:val="24"/>
    </w:rPr>
  </w:style>
  <w:style w:type="paragraph" w:styleId="5">
    <w:name w:val="heading 4"/>
    <w:basedOn w:val="1"/>
    <w:next w:val="1"/>
    <w:unhideWhenUsed/>
    <w:qFormat/>
    <w:uiPriority w:val="9"/>
    <w:pPr>
      <w:keepNext/>
      <w:keepLines/>
      <w:spacing w:beforeLines="0" w:afterLines="0" w:line="372" w:lineRule="auto"/>
      <w:outlineLvl w:val="3"/>
    </w:pPr>
    <w:rPr>
      <w:rFonts w:ascii="Arial" w:hAnsi="Arial" w:eastAsia="黑体"/>
      <w:b/>
      <w:sz w:val="28"/>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6">
    <w:name w:val="caption"/>
    <w:basedOn w:val="1"/>
    <w:next w:val="1"/>
    <w:unhideWhenUsed/>
    <w:qFormat/>
    <w:uiPriority w:val="99"/>
    <w:rPr>
      <w:rFonts w:ascii="Arial" w:hAnsi="Arial" w:eastAsia="黑体"/>
      <w:sz w:val="20"/>
    </w:rPr>
  </w:style>
  <w:style w:type="paragraph" w:styleId="7">
    <w:name w:val="Document Map"/>
    <w:basedOn w:val="1"/>
    <w:link w:val="44"/>
    <w:semiHidden/>
    <w:unhideWhenUsed/>
    <w:qFormat/>
    <w:uiPriority w:val="99"/>
    <w:rPr>
      <w:rFonts w:ascii="宋体"/>
      <w:sz w:val="18"/>
      <w:szCs w:val="18"/>
    </w:rPr>
  </w:style>
  <w:style w:type="paragraph" w:styleId="8">
    <w:name w:val="annotation text"/>
    <w:basedOn w:val="1"/>
    <w:link w:val="25"/>
    <w:qFormat/>
    <w:uiPriority w:val="0"/>
  </w:style>
  <w:style w:type="paragraph" w:styleId="9">
    <w:name w:val="Body Text"/>
    <w:basedOn w:val="1"/>
    <w:qFormat/>
    <w:uiPriority w:val="0"/>
    <w:pPr>
      <w:spacing w:after="120"/>
    </w:pPr>
    <w:rPr>
      <w:rFonts w:ascii="Times" w:hAnsi="Times"/>
      <w:szCs w:val="24"/>
    </w:rPr>
  </w:style>
  <w:style w:type="paragraph" w:styleId="10">
    <w:name w:val="Balloon Text"/>
    <w:basedOn w:val="1"/>
    <w:link w:val="33"/>
    <w:semiHidden/>
    <w:unhideWhenUsed/>
    <w:qFormat/>
    <w:uiPriority w:val="99"/>
    <w:rPr>
      <w:sz w:val="18"/>
      <w:szCs w:val="18"/>
    </w:rPr>
  </w:style>
  <w:style w:type="paragraph" w:styleId="11">
    <w:name w:val="footer"/>
    <w:basedOn w:val="1"/>
    <w:link w:val="26"/>
    <w:semiHidden/>
    <w:unhideWhenUsed/>
    <w:qFormat/>
    <w:uiPriority w:val="99"/>
    <w:pPr>
      <w:tabs>
        <w:tab w:val="center" w:pos="4153"/>
        <w:tab w:val="right" w:pos="8306"/>
      </w:tabs>
      <w:snapToGrid w:val="0"/>
      <w:jc w:val="left"/>
    </w:pPr>
    <w:rPr>
      <w:sz w:val="18"/>
      <w:szCs w:val="18"/>
    </w:rPr>
  </w:style>
  <w:style w:type="paragraph" w:styleId="12">
    <w:name w:val="header"/>
    <w:basedOn w:val="1"/>
    <w:link w:val="27"/>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decimal" w:pos="0"/>
        <w:tab w:val="right" w:pos="9660"/>
      </w:tabs>
      <w:ind w:right="420" w:rightChars="200"/>
      <w:jc w:val="left"/>
    </w:pPr>
    <w:rPr>
      <w:b/>
      <w:bCs/>
      <w:i/>
      <w:iCs/>
      <w:sz w:val="20"/>
    </w:rPr>
  </w:style>
  <w:style w:type="paragraph" w:styleId="14">
    <w:name w:val="Normal (Web)"/>
    <w:basedOn w:val="1"/>
    <w:unhideWhenUsed/>
    <w:qFormat/>
    <w:uiPriority w:val="99"/>
    <w:pPr>
      <w:spacing w:beforeAutospacing="1" w:afterAutospacing="1"/>
      <w:jc w:val="left"/>
    </w:pPr>
    <w:rPr>
      <w:kern w:val="0"/>
      <w:sz w:val="24"/>
    </w:rPr>
  </w:style>
  <w:style w:type="paragraph" w:styleId="15">
    <w:name w:val="annotation subject"/>
    <w:basedOn w:val="8"/>
    <w:next w:val="8"/>
    <w:link w:val="34"/>
    <w:semiHidden/>
    <w:unhideWhenUsed/>
    <w:qFormat/>
    <w:uiPriority w:val="99"/>
    <w:pPr>
      <w:jc w:val="left"/>
    </w:pPr>
    <w:rPr>
      <w:b/>
      <w:bCs/>
    </w:rPr>
  </w:style>
  <w:style w:type="table" w:styleId="17">
    <w:name w:val="Table Grid"/>
    <w:basedOn w:val="1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styleId="21">
    <w:name w:val="annotation reference"/>
    <w:qFormat/>
    <w:uiPriority w:val="0"/>
    <w:rPr>
      <w:sz w:val="16"/>
    </w:rPr>
  </w:style>
  <w:style w:type="character" w:customStyle="1" w:styleId="22">
    <w:name w:val="标题 1 Char"/>
    <w:basedOn w:val="18"/>
    <w:link w:val="2"/>
    <w:qFormat/>
    <w:uiPriority w:val="0"/>
    <w:rPr>
      <w:rFonts w:ascii="Arial" w:hAnsi="Arial" w:eastAsia="MS Mincho" w:cs="Times New Roman"/>
      <w:sz w:val="32"/>
      <w:szCs w:val="20"/>
    </w:rPr>
  </w:style>
  <w:style w:type="character" w:customStyle="1" w:styleId="23">
    <w:name w:val="标题 2 Char"/>
    <w:basedOn w:val="18"/>
    <w:link w:val="3"/>
    <w:qFormat/>
    <w:uiPriority w:val="0"/>
    <w:rPr>
      <w:rFonts w:ascii="Arial" w:hAnsi="Arial" w:eastAsia="MS Mincho" w:cs="Times New Roman"/>
      <w:sz w:val="28"/>
      <w:szCs w:val="20"/>
    </w:rPr>
  </w:style>
  <w:style w:type="character" w:customStyle="1" w:styleId="24">
    <w:name w:val="标题 3 Char"/>
    <w:basedOn w:val="18"/>
    <w:link w:val="4"/>
    <w:qFormat/>
    <w:uiPriority w:val="0"/>
    <w:rPr>
      <w:rFonts w:ascii="Arial" w:hAnsi="Arial" w:eastAsia="MS Mincho" w:cs="Times New Roman"/>
      <w:sz w:val="24"/>
      <w:szCs w:val="20"/>
    </w:rPr>
  </w:style>
  <w:style w:type="character" w:customStyle="1" w:styleId="25">
    <w:name w:val="批注文字 Char"/>
    <w:basedOn w:val="18"/>
    <w:link w:val="8"/>
    <w:qFormat/>
    <w:uiPriority w:val="0"/>
    <w:rPr>
      <w:rFonts w:ascii="Times New Roman" w:hAnsi="Times New Roman" w:eastAsia="宋体" w:cs="Times New Roman"/>
      <w:szCs w:val="20"/>
    </w:rPr>
  </w:style>
  <w:style w:type="character" w:customStyle="1" w:styleId="26">
    <w:name w:val="页脚 Char"/>
    <w:basedOn w:val="18"/>
    <w:link w:val="11"/>
    <w:semiHidden/>
    <w:qFormat/>
    <w:uiPriority w:val="99"/>
    <w:rPr>
      <w:rFonts w:ascii="Times New Roman" w:hAnsi="Times New Roman" w:eastAsia="宋体" w:cs="Times New Roman"/>
      <w:sz w:val="18"/>
      <w:szCs w:val="18"/>
    </w:rPr>
  </w:style>
  <w:style w:type="character" w:customStyle="1" w:styleId="27">
    <w:name w:val="页眉 Char"/>
    <w:basedOn w:val="18"/>
    <w:link w:val="12"/>
    <w:semiHidden/>
    <w:qFormat/>
    <w:uiPriority w:val="0"/>
    <w:rPr>
      <w:rFonts w:ascii="Times New Roman" w:hAnsi="Times New Roman" w:eastAsia="宋体" w:cs="Times New Roman"/>
      <w:sz w:val="18"/>
      <w:szCs w:val="18"/>
    </w:rPr>
  </w:style>
  <w:style w:type="paragraph" w:customStyle="1" w:styleId="28">
    <w:name w:val="References"/>
    <w:basedOn w:val="1"/>
    <w:qFormat/>
    <w:uiPriority w:val="0"/>
    <w:pPr>
      <w:numPr>
        <w:ilvl w:val="0"/>
        <w:numId w:val="2"/>
      </w:numPr>
      <w:spacing w:after="60"/>
    </w:pPr>
    <w:rPr>
      <w:szCs w:val="16"/>
    </w:rPr>
  </w:style>
  <w:style w:type="paragraph" w:styleId="29">
    <w:name w:val="List Paragraph"/>
    <w:basedOn w:val="1"/>
    <w:link w:val="36"/>
    <w:qFormat/>
    <w:uiPriority w:val="34"/>
    <w:pPr>
      <w:spacing w:beforeLines="0"/>
      <w:ind w:left="720"/>
      <w:contextualSpacing/>
    </w:pPr>
    <w:rPr>
      <w:rFonts w:eastAsia="Times New Roman"/>
      <w:sz w:val="24"/>
      <w:szCs w:val="24"/>
    </w:rPr>
  </w:style>
  <w:style w:type="character" w:customStyle="1" w:styleId="30">
    <w:name w:val="font21"/>
    <w:basedOn w:val="18"/>
    <w:qFormat/>
    <w:uiPriority w:val="0"/>
    <w:rPr>
      <w:rFonts w:hint="default" w:ascii="Times New Roman" w:hAnsi="Times New Roman" w:cs="Times New Roman"/>
      <w:color w:val="000000"/>
      <w:sz w:val="20"/>
      <w:szCs w:val="20"/>
      <w:u w:val="none"/>
    </w:rPr>
  </w:style>
  <w:style w:type="character" w:customStyle="1" w:styleId="31">
    <w:name w:val="font11"/>
    <w:basedOn w:val="18"/>
    <w:qFormat/>
    <w:uiPriority w:val="0"/>
    <w:rPr>
      <w:rFonts w:hint="default" w:ascii="Symbol" w:hAnsi="Symbol" w:cs="Symbol"/>
      <w:b/>
      <w:color w:val="000000"/>
      <w:sz w:val="20"/>
      <w:szCs w:val="20"/>
      <w:u w:val="none"/>
    </w:rPr>
  </w:style>
  <w:style w:type="character" w:customStyle="1" w:styleId="32">
    <w:name w:val="font01"/>
    <w:basedOn w:val="18"/>
    <w:qFormat/>
    <w:uiPriority w:val="0"/>
    <w:rPr>
      <w:rFonts w:hint="default" w:ascii="Symbol" w:hAnsi="Symbol" w:cs="Symbol"/>
      <w:color w:val="000000"/>
      <w:sz w:val="20"/>
      <w:szCs w:val="20"/>
      <w:u w:val="none"/>
    </w:rPr>
  </w:style>
  <w:style w:type="character" w:customStyle="1" w:styleId="33">
    <w:name w:val="批注框文本 Char"/>
    <w:basedOn w:val="18"/>
    <w:link w:val="10"/>
    <w:semiHidden/>
    <w:qFormat/>
    <w:uiPriority w:val="99"/>
    <w:rPr>
      <w:rFonts w:ascii="Times New Roman" w:hAnsi="Times New Roman" w:eastAsia="宋体" w:cs="Times New Roman"/>
      <w:sz w:val="18"/>
      <w:szCs w:val="18"/>
    </w:rPr>
  </w:style>
  <w:style w:type="character" w:customStyle="1" w:styleId="34">
    <w:name w:val="批注主题 Char"/>
    <w:basedOn w:val="25"/>
    <w:link w:val="15"/>
    <w:semiHidden/>
    <w:qFormat/>
    <w:uiPriority w:val="99"/>
    <w:rPr>
      <w:rFonts w:ascii="Times New Roman" w:hAnsi="Times New Roman" w:eastAsia="宋体" w:cs="Times New Roman"/>
      <w:b/>
      <w:bCs/>
      <w:kern w:val="2"/>
      <w:sz w:val="21"/>
      <w:szCs w:val="20"/>
    </w:rPr>
  </w:style>
  <w:style w:type="paragraph" w:customStyle="1" w:styleId="3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36">
    <w:name w:val="列出段落 Char"/>
    <w:link w:val="29"/>
    <w:qFormat/>
    <w:uiPriority w:val="34"/>
    <w:rPr>
      <w:rFonts w:ascii="Times New Roman" w:hAnsi="Times New Roman" w:eastAsia="Times New Roman" w:cs="Times New Roman"/>
      <w:kern w:val="2"/>
      <w:sz w:val="24"/>
      <w:szCs w:val="24"/>
    </w:rPr>
  </w:style>
  <w:style w:type="character" w:styleId="37">
    <w:name w:val="Placeholder Text"/>
    <w:basedOn w:val="18"/>
    <w:unhideWhenUsed/>
    <w:qFormat/>
    <w:uiPriority w:val="99"/>
    <w:rPr>
      <w:color w:val="808080"/>
    </w:rPr>
  </w:style>
  <w:style w:type="paragraph" w:customStyle="1" w:styleId="3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39">
    <w:name w:val="x_apple-converted-space"/>
    <w:qFormat/>
    <w:uiPriority w:val="0"/>
  </w:style>
  <w:style w:type="paragraph" w:customStyle="1" w:styleId="40">
    <w:name w:val="TAH"/>
    <w:basedOn w:val="41"/>
    <w:qFormat/>
    <w:uiPriority w:val="0"/>
    <w:rPr>
      <w:b/>
    </w:rPr>
  </w:style>
  <w:style w:type="paragraph" w:customStyle="1" w:styleId="41">
    <w:name w:val="TAC"/>
    <w:basedOn w:val="42"/>
    <w:qFormat/>
    <w:uiPriority w:val="0"/>
    <w:pPr>
      <w:jc w:val="center"/>
    </w:pPr>
  </w:style>
  <w:style w:type="paragraph" w:customStyle="1" w:styleId="42">
    <w:name w:val="TAL"/>
    <w:basedOn w:val="1"/>
    <w:qFormat/>
    <w:uiPriority w:val="0"/>
    <w:pPr>
      <w:keepNext/>
      <w:keepLines/>
    </w:pPr>
    <w:rPr>
      <w:rFonts w:ascii="Arial" w:hAnsi="Arial"/>
      <w:sz w:val="18"/>
    </w:rPr>
  </w:style>
  <w:style w:type="paragraph" w:customStyle="1" w:styleId="4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44">
    <w:name w:val="文档结构图 Char"/>
    <w:basedOn w:val="18"/>
    <w:link w:val="7"/>
    <w:semiHidden/>
    <w:qFormat/>
    <w:uiPriority w:val="99"/>
    <w:rPr>
      <w:rFonts w:ascii="宋体"/>
      <w:kern w:val="2"/>
      <w:sz w:val="18"/>
      <w:szCs w:val="18"/>
    </w:rPr>
  </w:style>
  <w:style w:type="paragraph" w:customStyle="1" w:styleId="4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4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47">
    <w:name w:val="apple-converted-space"/>
    <w:basedOn w:val="18"/>
    <w:qFormat/>
    <w:uiPriority w:val="0"/>
  </w:style>
  <w:style w:type="paragraph" w:customStyle="1" w:styleId="4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49">
    <w:name w:val="x_xmsonormal"/>
    <w:basedOn w:val="1"/>
    <w:qFormat/>
    <w:uiPriority w:val="0"/>
    <w:rPr>
      <w:rFonts w:ascii="宋体" w:hAnsi="宋体" w:cs="Calibri"/>
      <w:sz w:val="24"/>
    </w:rPr>
  </w:style>
  <w:style w:type="paragraph" w:customStyle="1" w:styleId="5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51">
    <w:name w:val="3GPP Normal Text"/>
    <w:basedOn w:val="9"/>
    <w:qFormat/>
    <w:uiPriority w:val="0"/>
    <w:pPr>
      <w:spacing w:after="60"/>
    </w:pPr>
    <w:rPr>
      <w:rFonts w:ascii="Times New Roman" w:hAnsi="Times New Roman" w:eastAsia="MS Mincho"/>
    </w:rPr>
  </w:style>
  <w:style w:type="paragraph" w:customStyle="1" w:styleId="52">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53">
    <w:name w:val="YJ-Proposal"/>
    <w:basedOn w:val="1"/>
    <w:qFormat/>
    <w:uiPriority w:val="0"/>
    <w:pPr>
      <w:numPr>
        <w:ilvl w:val="0"/>
        <w:numId w:val="4"/>
      </w:numPr>
      <w:jc w:val="left"/>
    </w:pPr>
    <w:rPr>
      <w:rFonts w:eastAsiaTheme="minorEastAsia"/>
      <w:b/>
      <w:bCs/>
      <w:i/>
      <w:iCs/>
      <w:sz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7.emf"/><Relationship Id="rId25" Type="http://schemas.openxmlformats.org/officeDocument/2006/relationships/image" Target="media/image16.png"/><Relationship Id="rId24" Type="http://schemas.openxmlformats.org/officeDocument/2006/relationships/image" Target="media/image15.emf"/><Relationship Id="rId23" Type="http://schemas.openxmlformats.org/officeDocument/2006/relationships/image" Target="media/image14.emf"/><Relationship Id="rId22" Type="http://schemas.openxmlformats.org/officeDocument/2006/relationships/image" Target="media/image13.emf"/><Relationship Id="rId21" Type="http://schemas.openxmlformats.org/officeDocument/2006/relationships/image" Target="media/image12.emf"/><Relationship Id="rId20" Type="http://schemas.openxmlformats.org/officeDocument/2006/relationships/image" Target="media/image11.emf"/><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image" Target="media/image9.emf"/><Relationship Id="rId17" Type="http://schemas.openxmlformats.org/officeDocument/2006/relationships/image" Target="media/image8.png"/><Relationship Id="rId16" Type="http://schemas.openxmlformats.org/officeDocument/2006/relationships/image" Target="media/image7.e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8E3938-906A-4980-9328-242DA9C995A8}">
  <ds:schemaRefs/>
</ds:datastoreItem>
</file>

<file path=docProps/app.xml><?xml version="1.0" encoding="utf-8"?>
<Properties xmlns="http://schemas.openxmlformats.org/officeDocument/2006/extended-properties" xmlns:vt="http://schemas.openxmlformats.org/officeDocument/2006/docPropsVTypes">
  <Template>Normal.dotm</Template>
  <Pages>1</Pages>
  <Words>4569</Words>
  <Characters>26047</Characters>
  <Lines>217</Lines>
  <Paragraphs>61</Paragraphs>
  <TotalTime>12</TotalTime>
  <ScaleCrop>false</ScaleCrop>
  <LinksUpToDate>false</LinksUpToDate>
  <CharactersWithSpaces>30555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2021-11-05T03:27:00Z</dcterms:created>
  <dc:creator>YuzhouHu</dc:creator>
  <cp:lastModifiedBy>ZTE-Xu.jiajun</cp:lastModifiedBy>
  <dcterms:modified xsi:type="dcterms:W3CDTF">2022-04-29T09:45:08Z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